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A891" w14:textId="77777777" w:rsidR="00E22F38" w:rsidRDefault="00B74C0C">
      <w:pPr>
        <w:spacing w:line="259" w:lineRule="auto"/>
        <w:rPr>
          <w:rStyle w:val="Rubrik1Char"/>
          <w:lang w:eastAsia="sv-SE"/>
        </w:rPr>
      </w:pPr>
      <w:bookmarkStart w:id="0" w:name="_Toc92867312"/>
      <w:r w:rsidRPr="00E22F38">
        <w:rPr>
          <w:rStyle w:val="Rubrik1Char"/>
          <w:noProof/>
          <w:lang w:eastAsia="sv-SE"/>
        </w:rPr>
        <mc:AlternateContent>
          <mc:Choice Requires="wps">
            <w:drawing>
              <wp:anchor distT="0" distB="0" distL="114300" distR="114300" simplePos="0" relativeHeight="251658240" behindDoc="0" locked="0" layoutInCell="1" allowOverlap="1" wp14:anchorId="36F25440" wp14:editId="065346AB">
                <wp:simplePos x="0" y="0"/>
                <wp:positionH relativeFrom="margin">
                  <wp:align>center</wp:align>
                </wp:positionH>
                <wp:positionV relativeFrom="margin">
                  <wp:posOffset>570230</wp:posOffset>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012E44" w:themeColor="accent2"/>
                              </w:tblBorders>
                              <w:tblCellMar>
                                <w:top w:w="1296" w:type="dxa"/>
                                <w:left w:w="360" w:type="dxa"/>
                                <w:bottom w:w="1296" w:type="dxa"/>
                                <w:right w:w="360" w:type="dxa"/>
                              </w:tblCellMar>
                              <w:tblLook w:val="04A0" w:firstRow="1" w:lastRow="0" w:firstColumn="1" w:lastColumn="0" w:noHBand="0" w:noVBand="1"/>
                            </w:tblPr>
                            <w:tblGrid>
                              <w:gridCol w:w="4980"/>
                              <w:gridCol w:w="2842"/>
                            </w:tblGrid>
                            <w:tr w:rsidR="00DE64F9" w14:paraId="05302DDD" w14:textId="77777777">
                              <w:trPr>
                                <w:jc w:val="center"/>
                              </w:trPr>
                              <w:tc>
                                <w:tcPr>
                                  <w:tcW w:w="2568" w:type="pct"/>
                                  <w:vAlign w:val="center"/>
                                </w:tcPr>
                                <w:p w14:paraId="0ED87654" w14:textId="77777777" w:rsidR="00DE64F9" w:rsidRDefault="00DE64F9">
                                  <w:pPr>
                                    <w:jc w:val="right"/>
                                  </w:pPr>
                                </w:p>
                                <w:sdt>
                                  <w:sdtPr>
                                    <w:rPr>
                                      <w:rFonts w:ascii="Museo Sans Rounded 900" w:hAnsi="Museo Sans Rounded 900"/>
                                      <w:caps/>
                                      <w:sz w:val="48"/>
                                      <w:szCs w:val="48"/>
                                    </w:rPr>
                                    <w:alias w:val="Rubrik"/>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1403674" w14:textId="77777777" w:rsidR="00DE64F9" w:rsidRDefault="00DE64F9">
                                      <w:pPr>
                                        <w:pStyle w:val="Ingetavstnd"/>
                                        <w:spacing w:line="312" w:lineRule="auto"/>
                                        <w:jc w:val="right"/>
                                        <w:rPr>
                                          <w:caps/>
                                          <w:color w:val="191919" w:themeColor="text1" w:themeTint="E6"/>
                                          <w:sz w:val="72"/>
                                          <w:szCs w:val="72"/>
                                        </w:rPr>
                                      </w:pPr>
                                      <w:r w:rsidRPr="00550343">
                                        <w:rPr>
                                          <w:rFonts w:ascii="Museo Sans Rounded 900" w:hAnsi="Museo Sans Rounded 900"/>
                                          <w:caps/>
                                          <w:sz w:val="48"/>
                                          <w:szCs w:val="48"/>
                                        </w:rPr>
                                        <w:t>Vägledning för regioners klimatREDOVISNING</w:t>
                                      </w:r>
                                    </w:p>
                                  </w:sdtContent>
                                </w:sdt>
                                <w:p w14:paraId="3775D3FC" w14:textId="77777777" w:rsidR="00DE64F9" w:rsidRDefault="00DE64F9">
                                  <w:pPr>
                                    <w:jc w:val="right"/>
                                    <w:rPr>
                                      <w:sz w:val="24"/>
                                      <w:szCs w:val="24"/>
                                    </w:rPr>
                                  </w:pPr>
                                </w:p>
                              </w:tc>
                              <w:tc>
                                <w:tcPr>
                                  <w:tcW w:w="2432" w:type="pct"/>
                                  <w:vAlign w:val="center"/>
                                </w:tcPr>
                                <w:p w14:paraId="3E524E34" w14:textId="77777777" w:rsidR="00DE64F9" w:rsidRDefault="00DE64F9">
                                  <w:pPr>
                                    <w:pStyle w:val="Ingetavstnd"/>
                                    <w:rPr>
                                      <w:caps/>
                                      <w:color w:val="012E44" w:themeColor="accent2"/>
                                      <w:sz w:val="26"/>
                                      <w:szCs w:val="26"/>
                                    </w:rPr>
                                  </w:pPr>
                                  <w:r>
                                    <w:rPr>
                                      <w:caps/>
                                      <w:color w:val="012E44" w:themeColor="accent2"/>
                                      <w:sz w:val="26"/>
                                      <w:szCs w:val="26"/>
                                    </w:rPr>
                                    <w:t>Sammanfattning</w:t>
                                  </w:r>
                                </w:p>
                                <w:sdt>
                                  <w:sdtPr>
                                    <w:alias w:val="Sammanfattning"/>
                                    <w:tag w:val=""/>
                                    <w:id w:val="-2036181933"/>
                                    <w:dataBinding w:prefixMappings="xmlns:ns0='http://schemas.microsoft.com/office/2006/coverPageProps' " w:xpath="/ns0:CoverPageProperties[1]/ns0:Abstract[1]" w:storeItemID="{55AF091B-3C7A-41E3-B477-F2FDAA23CFDA}"/>
                                    <w:text/>
                                  </w:sdtPr>
                                  <w:sdtEndPr/>
                                  <w:sdtContent>
                                    <w:p w14:paraId="768EEAB1" w14:textId="77777777" w:rsidR="00DE64F9" w:rsidRDefault="00DE64F9">
                                      <w:pPr>
                                        <w:rPr>
                                          <w:color w:val="000000" w:themeColor="text1"/>
                                        </w:rPr>
                                      </w:pPr>
                                      <w:r w:rsidRPr="0098711E">
                                        <w:t>Vägledning till beräkningsverktyg för klimat</w:t>
                                      </w:r>
                                      <w:r>
                                        <w:t xml:space="preserve">beräkningar </w:t>
                                      </w:r>
                                      <w:r w:rsidRPr="0098711E">
                                        <w:t>för att underlätta regionernas arbete med klimatredovisning</w:t>
                                      </w:r>
                                      <w:r>
                                        <w:t>. Vägledning och verktyg har tagits fram av SKR i samarbete med 2050 Consulting.</w:t>
                                      </w:r>
                                      <w:r w:rsidRPr="0098711E">
                                        <w:t xml:space="preserve"> </w:t>
                                      </w:r>
                                    </w:p>
                                  </w:sdtContent>
                                </w:sdt>
                                <w:p w14:paraId="63CE8548" w14:textId="77777777" w:rsidR="00DE64F9" w:rsidRDefault="00DE64F9">
                                  <w:pPr>
                                    <w:pStyle w:val="Ingetavstnd"/>
                                    <w:rPr>
                                      <w:color w:val="012E44" w:themeColor="accent2"/>
                                      <w:sz w:val="26"/>
                                      <w:szCs w:val="26"/>
                                    </w:rPr>
                                  </w:pPr>
                                </w:p>
                                <w:p w14:paraId="04DBF41A" w14:textId="77777777" w:rsidR="00DE64F9" w:rsidRDefault="00DE64F9">
                                  <w:pPr>
                                    <w:pStyle w:val="Ingetavstnd"/>
                                  </w:pPr>
                                </w:p>
                              </w:tc>
                            </w:tr>
                          </w:tbl>
                          <w:p w14:paraId="245C3567" w14:textId="77777777" w:rsidR="00DE64F9" w:rsidRDefault="00DE64F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6F25440" id="_x0000_t202" coordsize="21600,21600" o:spt="202" path="m,l,21600r21600,l21600,xe">
                <v:stroke joinstyle="miter"/>
                <v:path gradientshapeok="t" o:connecttype="rect"/>
              </v:shapetype>
              <v:shape id="Text Box 138" o:spid="_x0000_s1026" type="#_x0000_t202" style="position:absolute;margin-left:0;margin-top:44.9pt;width:134.85pt;height:302.4pt;z-index:251658240;visibility:visible;mso-wrap-style:square;mso-width-percent:941;mso-height-percent:773;mso-wrap-distance-left:9pt;mso-wrap-distance-top:0;mso-wrap-distance-right:9pt;mso-wrap-distance-bottom:0;mso-position-horizontal:center;mso-position-horizontal-relative:margin;mso-position-vertical:absolute;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" fillcolor="white [3201]" stroked="f" strokeweight=".5pt">
                <v:textbox inset="0,0,0,0">
                  <w:txbxContent>
                    <w:tbl>
                      <w:tblPr>
                        <w:tblW w:w="5000" w:type="pct"/>
                        <w:jc w:val="center"/>
                        <w:tblBorders>
                          <w:insideV w:val="single" w:sz="12" w:space="0" w:color="012E44" w:themeColor="accent2"/>
                        </w:tblBorders>
                        <w:tblCellMar>
                          <w:top w:w="1296" w:type="dxa"/>
                          <w:left w:w="360" w:type="dxa"/>
                          <w:bottom w:w="1296" w:type="dxa"/>
                          <w:right w:w="360" w:type="dxa"/>
                        </w:tblCellMar>
                        <w:tblLook w:val="04A0" w:firstRow="1" w:lastRow="0" w:firstColumn="1" w:lastColumn="0" w:noHBand="0" w:noVBand="1"/>
                      </w:tblPr>
                      <w:tblGrid>
                        <w:gridCol w:w="4980"/>
                        <w:gridCol w:w="2842"/>
                      </w:tblGrid>
                      <w:tr w:rsidR="00DE64F9" w14:paraId="05302DDD" w14:textId="77777777">
                        <w:trPr>
                          <w:jc w:val="center"/>
                        </w:trPr>
                        <w:tc>
                          <w:tcPr>
                            <w:tcW w:w="2568" w:type="pct"/>
                            <w:vAlign w:val="center"/>
                          </w:tcPr>
                          <w:p w14:paraId="0ED87654" w14:textId="77777777" w:rsidR="00DE64F9" w:rsidRDefault="00DE64F9">
                            <w:pPr>
                              <w:jc w:val="right"/>
                            </w:pPr>
                          </w:p>
                          <w:sdt>
                            <w:sdtPr>
                              <w:rPr>
                                <w:rFonts w:ascii="Museo Sans Rounded 900" w:hAnsi="Museo Sans Rounded 900"/>
                                <w:caps/>
                                <w:sz w:val="48"/>
                                <w:szCs w:val="48"/>
                              </w:rPr>
                              <w:alias w:val="Rubrik"/>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1403674" w14:textId="77777777" w:rsidR="00DE64F9" w:rsidRDefault="00DE64F9">
                                <w:pPr>
                                  <w:pStyle w:val="Ingetavstnd"/>
                                  <w:spacing w:line="312" w:lineRule="auto"/>
                                  <w:jc w:val="right"/>
                                  <w:rPr>
                                    <w:caps/>
                                    <w:color w:val="191919" w:themeColor="text1" w:themeTint="E6"/>
                                    <w:sz w:val="72"/>
                                    <w:szCs w:val="72"/>
                                  </w:rPr>
                                </w:pPr>
                                <w:r w:rsidRPr="00550343">
                                  <w:rPr>
                                    <w:rFonts w:ascii="Museo Sans Rounded 900" w:hAnsi="Museo Sans Rounded 900"/>
                                    <w:caps/>
                                    <w:sz w:val="48"/>
                                    <w:szCs w:val="48"/>
                                  </w:rPr>
                                  <w:t>Vägledning för regioners klimatREDOVISNING</w:t>
                                </w:r>
                              </w:p>
                            </w:sdtContent>
                          </w:sdt>
                          <w:p w14:paraId="3775D3FC" w14:textId="77777777" w:rsidR="00DE64F9" w:rsidRDefault="00DE64F9">
                            <w:pPr>
                              <w:jc w:val="right"/>
                              <w:rPr>
                                <w:sz w:val="24"/>
                                <w:szCs w:val="24"/>
                              </w:rPr>
                            </w:pPr>
                          </w:p>
                        </w:tc>
                        <w:tc>
                          <w:tcPr>
                            <w:tcW w:w="2432" w:type="pct"/>
                            <w:vAlign w:val="center"/>
                          </w:tcPr>
                          <w:p w14:paraId="3E524E34" w14:textId="77777777" w:rsidR="00DE64F9" w:rsidRDefault="00DE64F9">
                            <w:pPr>
                              <w:pStyle w:val="Ingetavstnd"/>
                              <w:rPr>
                                <w:caps/>
                                <w:color w:val="012E44" w:themeColor="accent2"/>
                                <w:sz w:val="26"/>
                                <w:szCs w:val="26"/>
                              </w:rPr>
                            </w:pPr>
                            <w:r>
                              <w:rPr>
                                <w:caps/>
                                <w:color w:val="012E44" w:themeColor="accent2"/>
                                <w:sz w:val="26"/>
                                <w:szCs w:val="26"/>
                              </w:rPr>
                              <w:t>Sammanfattning</w:t>
                            </w:r>
                          </w:p>
                          <w:sdt>
                            <w:sdtPr>
                              <w:alias w:val="Sammanfattning"/>
                              <w:tag w:val=""/>
                              <w:id w:val="-2036181933"/>
                              <w:dataBinding w:prefixMappings="xmlns:ns0='http://schemas.microsoft.com/office/2006/coverPageProps' " w:xpath="/ns0:CoverPageProperties[1]/ns0:Abstract[1]" w:storeItemID="{55AF091B-3C7A-41E3-B477-F2FDAA23CFDA}"/>
                              <w:text/>
                            </w:sdtPr>
                            <w:sdtEndPr/>
                            <w:sdtContent>
                              <w:p w14:paraId="768EEAB1" w14:textId="77777777" w:rsidR="00DE64F9" w:rsidRDefault="00DE64F9">
                                <w:pPr>
                                  <w:rPr>
                                    <w:color w:val="000000" w:themeColor="text1"/>
                                  </w:rPr>
                                </w:pPr>
                                <w:r w:rsidRPr="0098711E">
                                  <w:t>Vägledning till beräkningsverktyg för klimat</w:t>
                                </w:r>
                                <w:r>
                                  <w:t xml:space="preserve">beräkningar </w:t>
                                </w:r>
                                <w:r w:rsidRPr="0098711E">
                                  <w:t>för att underlätta regionernas arbete med klimatredovisning</w:t>
                                </w:r>
                                <w:r>
                                  <w:t>. Vägledning och verktyg har tagits fram av SKR i samarbete med 2050 Consulting.</w:t>
                                </w:r>
                                <w:r w:rsidRPr="0098711E">
                                  <w:t xml:space="preserve"> </w:t>
                                </w:r>
                              </w:p>
                            </w:sdtContent>
                          </w:sdt>
                          <w:p w14:paraId="63CE8548" w14:textId="77777777" w:rsidR="00DE64F9" w:rsidRDefault="00DE64F9">
                            <w:pPr>
                              <w:pStyle w:val="Ingetavstnd"/>
                              <w:rPr>
                                <w:color w:val="012E44" w:themeColor="accent2"/>
                                <w:sz w:val="26"/>
                                <w:szCs w:val="26"/>
                              </w:rPr>
                            </w:pPr>
                          </w:p>
                          <w:p w14:paraId="04DBF41A" w14:textId="77777777" w:rsidR="00DE64F9" w:rsidRDefault="00DE64F9">
                            <w:pPr>
                              <w:pStyle w:val="Ingetavstnd"/>
                            </w:pPr>
                          </w:p>
                        </w:tc>
                      </w:tr>
                    </w:tbl>
                    <w:p w14:paraId="245C3567" w14:textId="77777777" w:rsidR="00DE64F9" w:rsidRDefault="00DE64F9"/>
                  </w:txbxContent>
                </v:textbox>
                <w10:wrap anchorx="margin" anchory="margin"/>
              </v:shape>
            </w:pict>
          </mc:Fallback>
        </mc:AlternateContent>
      </w:r>
      <w:bookmarkEnd w:id="0"/>
    </w:p>
    <w:p w14:paraId="00797A27" w14:textId="77777777" w:rsidR="00350334" w:rsidRPr="00350334" w:rsidRDefault="002B7BAC" w:rsidP="00350334">
      <w:pPr>
        <w:spacing w:line="259" w:lineRule="auto"/>
        <w:rPr>
          <w:rFonts w:ascii="Museo Sans Rounded 900" w:eastAsiaTheme="majorEastAsia" w:hAnsi="Museo Sans Rounded 900" w:cstheme="majorBidi"/>
          <w:spacing w:val="10"/>
          <w:kern w:val="28"/>
          <w:sz w:val="36"/>
          <w:szCs w:val="36"/>
        </w:rPr>
      </w:pPr>
      <w:r>
        <w:br w:type="page"/>
      </w:r>
    </w:p>
    <w:sdt>
      <w:sdtPr>
        <w:rPr>
          <w:rFonts w:ascii="Museo Sans Rounded 300" w:eastAsiaTheme="minorHAnsi" w:hAnsi="Museo Sans Rounded 300" w:cstheme="minorBidi"/>
          <w:color w:val="auto"/>
          <w:spacing w:val="20"/>
          <w:sz w:val="20"/>
          <w:szCs w:val="20"/>
          <w:lang w:eastAsia="en-US"/>
        </w:rPr>
        <w:id w:val="-1618976420"/>
        <w:docPartObj>
          <w:docPartGallery w:val="Table of Contents"/>
          <w:docPartUnique/>
        </w:docPartObj>
      </w:sdtPr>
      <w:sdtEndPr>
        <w:rPr>
          <w:b/>
          <w:bCs/>
        </w:rPr>
      </w:sdtEndPr>
      <w:sdtContent>
        <w:p w14:paraId="4F4FD374" w14:textId="77777777" w:rsidR="008502CF" w:rsidRPr="00AD67E8" w:rsidRDefault="008502CF" w:rsidP="00116F6B">
          <w:pPr>
            <w:pStyle w:val="Innehllsfrteckningsrubrik"/>
          </w:pPr>
          <w:r w:rsidRPr="00AD67E8">
            <w:t>Innehåll</w:t>
          </w:r>
        </w:p>
        <w:p w14:paraId="0FD0F8FF" w14:textId="15825034" w:rsidR="00301573" w:rsidRDefault="008502CF">
          <w:pPr>
            <w:pStyle w:val="Innehll1"/>
            <w:rPr>
              <w:rFonts w:asciiTheme="minorHAnsi" w:eastAsiaTheme="minorEastAsia" w:hAnsiTheme="minorHAnsi"/>
              <w:noProof/>
              <w:spacing w:val="0"/>
              <w:kern w:val="2"/>
              <w:sz w:val="22"/>
              <w:szCs w:val="22"/>
              <w:lang/>
              <w14:ligatures w14:val="standardContextual"/>
            </w:rPr>
          </w:pPr>
          <w:r>
            <w:fldChar w:fldCharType="begin"/>
          </w:r>
          <w:r>
            <w:instrText xml:space="preserve"> TOC \o "1-3" \h \z \u </w:instrText>
          </w:r>
          <w:r>
            <w:fldChar w:fldCharType="separate"/>
          </w:r>
          <w:hyperlink w:anchor="_Toc152920015" w:history="1">
            <w:r w:rsidR="00301573" w:rsidRPr="00266AF9">
              <w:rPr>
                <w:rStyle w:val="Hyperlnk"/>
                <w:noProof/>
              </w:rPr>
              <w:t>Inledning</w:t>
            </w:r>
            <w:r w:rsidR="00301573">
              <w:rPr>
                <w:noProof/>
                <w:webHidden/>
              </w:rPr>
              <w:tab/>
            </w:r>
            <w:r w:rsidR="00301573">
              <w:rPr>
                <w:noProof/>
                <w:webHidden/>
              </w:rPr>
              <w:fldChar w:fldCharType="begin"/>
            </w:r>
            <w:r w:rsidR="00301573">
              <w:rPr>
                <w:noProof/>
                <w:webHidden/>
              </w:rPr>
              <w:instrText xml:space="preserve"> PAGEREF _Toc152920015 \h </w:instrText>
            </w:r>
            <w:r w:rsidR="00301573">
              <w:rPr>
                <w:noProof/>
                <w:webHidden/>
              </w:rPr>
            </w:r>
            <w:r w:rsidR="00301573">
              <w:rPr>
                <w:noProof/>
                <w:webHidden/>
              </w:rPr>
              <w:fldChar w:fldCharType="separate"/>
            </w:r>
            <w:r w:rsidR="00301573">
              <w:rPr>
                <w:noProof/>
                <w:webHidden/>
              </w:rPr>
              <w:t>5</w:t>
            </w:r>
            <w:r w:rsidR="00301573">
              <w:rPr>
                <w:noProof/>
                <w:webHidden/>
              </w:rPr>
              <w:fldChar w:fldCharType="end"/>
            </w:r>
          </w:hyperlink>
        </w:p>
        <w:p w14:paraId="5EECF646" w14:textId="5E55FCED" w:rsidR="00301573" w:rsidRDefault="00787962">
          <w:pPr>
            <w:pStyle w:val="Innehll1"/>
            <w:rPr>
              <w:rFonts w:asciiTheme="minorHAnsi" w:eastAsiaTheme="minorEastAsia" w:hAnsiTheme="minorHAnsi"/>
              <w:noProof/>
              <w:spacing w:val="0"/>
              <w:kern w:val="2"/>
              <w:sz w:val="22"/>
              <w:szCs w:val="22"/>
              <w:lang/>
              <w14:ligatures w14:val="standardContextual"/>
            </w:rPr>
          </w:pPr>
          <w:hyperlink w:anchor="_Toc152920016" w:history="1">
            <w:r w:rsidR="00301573" w:rsidRPr="00266AF9">
              <w:rPr>
                <w:rStyle w:val="Hyperlnk"/>
                <w:noProof/>
              </w:rPr>
              <w:t>Föreslagen metod</w:t>
            </w:r>
            <w:r w:rsidR="00301573">
              <w:rPr>
                <w:noProof/>
                <w:webHidden/>
              </w:rPr>
              <w:tab/>
            </w:r>
            <w:r w:rsidR="00301573">
              <w:rPr>
                <w:noProof/>
                <w:webHidden/>
              </w:rPr>
              <w:fldChar w:fldCharType="begin"/>
            </w:r>
            <w:r w:rsidR="00301573">
              <w:rPr>
                <w:noProof/>
                <w:webHidden/>
              </w:rPr>
              <w:instrText xml:space="preserve"> PAGEREF _Toc152920016 \h </w:instrText>
            </w:r>
            <w:r w:rsidR="00301573">
              <w:rPr>
                <w:noProof/>
                <w:webHidden/>
              </w:rPr>
            </w:r>
            <w:r w:rsidR="00301573">
              <w:rPr>
                <w:noProof/>
                <w:webHidden/>
              </w:rPr>
              <w:fldChar w:fldCharType="separate"/>
            </w:r>
            <w:r w:rsidR="00301573">
              <w:rPr>
                <w:noProof/>
                <w:webHidden/>
              </w:rPr>
              <w:t>6</w:t>
            </w:r>
            <w:r w:rsidR="00301573">
              <w:rPr>
                <w:noProof/>
                <w:webHidden/>
              </w:rPr>
              <w:fldChar w:fldCharType="end"/>
            </w:r>
          </w:hyperlink>
        </w:p>
        <w:p w14:paraId="43B0B8A4" w14:textId="435F406F"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17" w:history="1">
            <w:r w:rsidR="00301573" w:rsidRPr="00266AF9">
              <w:rPr>
                <w:rStyle w:val="Hyperlnk"/>
                <w:noProof/>
              </w:rPr>
              <w:t>Green House Gas Protocol - redovisning i tre scope</w:t>
            </w:r>
            <w:r w:rsidR="00301573">
              <w:rPr>
                <w:noProof/>
                <w:webHidden/>
              </w:rPr>
              <w:tab/>
            </w:r>
            <w:r w:rsidR="00301573">
              <w:rPr>
                <w:noProof/>
                <w:webHidden/>
              </w:rPr>
              <w:fldChar w:fldCharType="begin"/>
            </w:r>
            <w:r w:rsidR="00301573">
              <w:rPr>
                <w:noProof/>
                <w:webHidden/>
              </w:rPr>
              <w:instrText xml:space="preserve"> PAGEREF _Toc152920017 \h </w:instrText>
            </w:r>
            <w:r w:rsidR="00301573">
              <w:rPr>
                <w:noProof/>
                <w:webHidden/>
              </w:rPr>
            </w:r>
            <w:r w:rsidR="00301573">
              <w:rPr>
                <w:noProof/>
                <w:webHidden/>
              </w:rPr>
              <w:fldChar w:fldCharType="separate"/>
            </w:r>
            <w:r w:rsidR="00301573">
              <w:rPr>
                <w:noProof/>
                <w:webHidden/>
              </w:rPr>
              <w:t>6</w:t>
            </w:r>
            <w:r w:rsidR="00301573">
              <w:rPr>
                <w:noProof/>
                <w:webHidden/>
              </w:rPr>
              <w:fldChar w:fldCharType="end"/>
            </w:r>
          </w:hyperlink>
        </w:p>
        <w:p w14:paraId="6DA843EB" w14:textId="00062570"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18" w:history="1">
            <w:r w:rsidR="00301573" w:rsidRPr="00266AF9">
              <w:rPr>
                <w:rStyle w:val="Hyperlnk"/>
                <w:noProof/>
              </w:rPr>
              <w:t>Operationell kontroll styr i vilket scope utsläppen ska redovisas</w:t>
            </w:r>
            <w:r w:rsidR="00301573">
              <w:rPr>
                <w:noProof/>
                <w:webHidden/>
              </w:rPr>
              <w:tab/>
            </w:r>
            <w:r w:rsidR="00301573">
              <w:rPr>
                <w:noProof/>
                <w:webHidden/>
              </w:rPr>
              <w:fldChar w:fldCharType="begin"/>
            </w:r>
            <w:r w:rsidR="00301573">
              <w:rPr>
                <w:noProof/>
                <w:webHidden/>
              </w:rPr>
              <w:instrText xml:space="preserve"> PAGEREF _Toc152920018 \h </w:instrText>
            </w:r>
            <w:r w:rsidR="00301573">
              <w:rPr>
                <w:noProof/>
                <w:webHidden/>
              </w:rPr>
            </w:r>
            <w:r w:rsidR="00301573">
              <w:rPr>
                <w:noProof/>
                <w:webHidden/>
              </w:rPr>
              <w:fldChar w:fldCharType="separate"/>
            </w:r>
            <w:r w:rsidR="00301573">
              <w:rPr>
                <w:noProof/>
                <w:webHidden/>
              </w:rPr>
              <w:t>7</w:t>
            </w:r>
            <w:r w:rsidR="00301573">
              <w:rPr>
                <w:noProof/>
                <w:webHidden/>
              </w:rPr>
              <w:fldChar w:fldCharType="end"/>
            </w:r>
          </w:hyperlink>
        </w:p>
        <w:p w14:paraId="6B426E21" w14:textId="2C722D57"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19" w:history="1">
            <w:r w:rsidR="00301573" w:rsidRPr="00266AF9">
              <w:rPr>
                <w:rStyle w:val="Hyperlnk"/>
                <w:noProof/>
              </w:rPr>
              <w:t>Beräkning av utsläpp från nätbaserad energi</w:t>
            </w:r>
            <w:r w:rsidR="00301573">
              <w:rPr>
                <w:noProof/>
                <w:webHidden/>
              </w:rPr>
              <w:tab/>
            </w:r>
            <w:r w:rsidR="00301573">
              <w:rPr>
                <w:noProof/>
                <w:webHidden/>
              </w:rPr>
              <w:fldChar w:fldCharType="begin"/>
            </w:r>
            <w:r w:rsidR="00301573">
              <w:rPr>
                <w:noProof/>
                <w:webHidden/>
              </w:rPr>
              <w:instrText xml:space="preserve"> PAGEREF _Toc152920019 \h </w:instrText>
            </w:r>
            <w:r w:rsidR="00301573">
              <w:rPr>
                <w:noProof/>
                <w:webHidden/>
              </w:rPr>
            </w:r>
            <w:r w:rsidR="00301573">
              <w:rPr>
                <w:noProof/>
                <w:webHidden/>
              </w:rPr>
              <w:fldChar w:fldCharType="separate"/>
            </w:r>
            <w:r w:rsidR="00301573">
              <w:rPr>
                <w:noProof/>
                <w:webHidden/>
              </w:rPr>
              <w:t>8</w:t>
            </w:r>
            <w:r w:rsidR="00301573">
              <w:rPr>
                <w:noProof/>
                <w:webHidden/>
              </w:rPr>
              <w:fldChar w:fldCharType="end"/>
            </w:r>
          </w:hyperlink>
        </w:p>
        <w:p w14:paraId="6E87C738" w14:textId="5E75FB88"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20" w:history="1">
            <w:r w:rsidR="00301573" w:rsidRPr="00266AF9">
              <w:rPr>
                <w:rStyle w:val="Hyperlnk"/>
                <w:noProof/>
              </w:rPr>
              <w:t>Utsläppsfaktorer</w:t>
            </w:r>
            <w:r w:rsidR="00301573">
              <w:rPr>
                <w:noProof/>
                <w:webHidden/>
              </w:rPr>
              <w:tab/>
            </w:r>
            <w:r w:rsidR="00301573">
              <w:rPr>
                <w:noProof/>
                <w:webHidden/>
              </w:rPr>
              <w:fldChar w:fldCharType="begin"/>
            </w:r>
            <w:r w:rsidR="00301573">
              <w:rPr>
                <w:noProof/>
                <w:webHidden/>
              </w:rPr>
              <w:instrText xml:space="preserve"> PAGEREF _Toc152920020 \h </w:instrText>
            </w:r>
            <w:r w:rsidR="00301573">
              <w:rPr>
                <w:noProof/>
                <w:webHidden/>
              </w:rPr>
            </w:r>
            <w:r w:rsidR="00301573">
              <w:rPr>
                <w:noProof/>
                <w:webHidden/>
              </w:rPr>
              <w:fldChar w:fldCharType="separate"/>
            </w:r>
            <w:r w:rsidR="00301573">
              <w:rPr>
                <w:noProof/>
                <w:webHidden/>
              </w:rPr>
              <w:t>8</w:t>
            </w:r>
            <w:r w:rsidR="00301573">
              <w:rPr>
                <w:noProof/>
                <w:webHidden/>
              </w:rPr>
              <w:fldChar w:fldCharType="end"/>
            </w:r>
          </w:hyperlink>
        </w:p>
        <w:p w14:paraId="69F2AA73" w14:textId="24CEFA2A"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21" w:history="1">
            <w:r w:rsidR="00301573" w:rsidRPr="00266AF9">
              <w:rPr>
                <w:rStyle w:val="Hyperlnk"/>
                <w:noProof/>
              </w:rPr>
              <w:t>Olika avgränsning för utsläppsfaktorer för biodrivmedel och elektricitet</w:t>
            </w:r>
            <w:r w:rsidR="00301573">
              <w:rPr>
                <w:noProof/>
                <w:webHidden/>
              </w:rPr>
              <w:tab/>
            </w:r>
            <w:r w:rsidR="00301573">
              <w:rPr>
                <w:noProof/>
                <w:webHidden/>
              </w:rPr>
              <w:fldChar w:fldCharType="begin"/>
            </w:r>
            <w:r w:rsidR="00301573">
              <w:rPr>
                <w:noProof/>
                <w:webHidden/>
              </w:rPr>
              <w:instrText xml:space="preserve"> PAGEREF _Toc152920021 \h </w:instrText>
            </w:r>
            <w:r w:rsidR="00301573">
              <w:rPr>
                <w:noProof/>
                <w:webHidden/>
              </w:rPr>
            </w:r>
            <w:r w:rsidR="00301573">
              <w:rPr>
                <w:noProof/>
                <w:webHidden/>
              </w:rPr>
              <w:fldChar w:fldCharType="separate"/>
            </w:r>
            <w:r w:rsidR="00301573">
              <w:rPr>
                <w:noProof/>
                <w:webHidden/>
              </w:rPr>
              <w:t>9</w:t>
            </w:r>
            <w:r w:rsidR="00301573">
              <w:rPr>
                <w:noProof/>
                <w:webHidden/>
              </w:rPr>
              <w:fldChar w:fldCharType="end"/>
            </w:r>
          </w:hyperlink>
        </w:p>
        <w:p w14:paraId="1D81E867" w14:textId="1BE422D6"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22" w:history="1">
            <w:r w:rsidR="00301573" w:rsidRPr="00266AF9">
              <w:rPr>
                <w:rStyle w:val="Hyperlnk"/>
                <w:noProof/>
              </w:rPr>
              <w:t>Energianvändning med faktorer</w:t>
            </w:r>
            <w:r w:rsidR="00301573">
              <w:rPr>
                <w:noProof/>
                <w:webHidden/>
              </w:rPr>
              <w:tab/>
            </w:r>
            <w:r w:rsidR="00301573">
              <w:rPr>
                <w:noProof/>
                <w:webHidden/>
              </w:rPr>
              <w:fldChar w:fldCharType="begin"/>
            </w:r>
            <w:r w:rsidR="00301573">
              <w:rPr>
                <w:noProof/>
                <w:webHidden/>
              </w:rPr>
              <w:instrText xml:space="preserve"> PAGEREF _Toc152920022 \h </w:instrText>
            </w:r>
            <w:r w:rsidR="00301573">
              <w:rPr>
                <w:noProof/>
                <w:webHidden/>
              </w:rPr>
            </w:r>
            <w:r w:rsidR="00301573">
              <w:rPr>
                <w:noProof/>
                <w:webHidden/>
              </w:rPr>
              <w:fldChar w:fldCharType="separate"/>
            </w:r>
            <w:r w:rsidR="00301573">
              <w:rPr>
                <w:noProof/>
                <w:webHidden/>
              </w:rPr>
              <w:t>9</w:t>
            </w:r>
            <w:r w:rsidR="00301573">
              <w:rPr>
                <w:noProof/>
                <w:webHidden/>
              </w:rPr>
              <w:fldChar w:fldCharType="end"/>
            </w:r>
          </w:hyperlink>
        </w:p>
        <w:p w14:paraId="1BBD7D1B" w14:textId="67452AFD"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23" w:history="1">
            <w:r w:rsidR="00301573" w:rsidRPr="00266AF9">
              <w:rPr>
                <w:rStyle w:val="Hyperlnk"/>
                <w:noProof/>
              </w:rPr>
              <w:t>Klimatkompensation och koldioxidinfångning</w:t>
            </w:r>
            <w:r w:rsidR="00301573">
              <w:rPr>
                <w:noProof/>
                <w:webHidden/>
              </w:rPr>
              <w:tab/>
            </w:r>
            <w:r w:rsidR="00301573">
              <w:rPr>
                <w:noProof/>
                <w:webHidden/>
              </w:rPr>
              <w:fldChar w:fldCharType="begin"/>
            </w:r>
            <w:r w:rsidR="00301573">
              <w:rPr>
                <w:noProof/>
                <w:webHidden/>
              </w:rPr>
              <w:instrText xml:space="preserve"> PAGEREF _Toc152920023 \h </w:instrText>
            </w:r>
            <w:r w:rsidR="00301573">
              <w:rPr>
                <w:noProof/>
                <w:webHidden/>
              </w:rPr>
            </w:r>
            <w:r w:rsidR="00301573">
              <w:rPr>
                <w:noProof/>
                <w:webHidden/>
              </w:rPr>
              <w:fldChar w:fldCharType="separate"/>
            </w:r>
            <w:r w:rsidR="00301573">
              <w:rPr>
                <w:noProof/>
                <w:webHidden/>
              </w:rPr>
              <w:t>10</w:t>
            </w:r>
            <w:r w:rsidR="00301573">
              <w:rPr>
                <w:noProof/>
                <w:webHidden/>
              </w:rPr>
              <w:fldChar w:fldCharType="end"/>
            </w:r>
          </w:hyperlink>
        </w:p>
        <w:p w14:paraId="4F752570" w14:textId="78FA83C8" w:rsidR="00301573" w:rsidRDefault="00787962">
          <w:pPr>
            <w:pStyle w:val="Innehll1"/>
            <w:rPr>
              <w:rFonts w:asciiTheme="minorHAnsi" w:eastAsiaTheme="minorEastAsia" w:hAnsiTheme="minorHAnsi"/>
              <w:noProof/>
              <w:spacing w:val="0"/>
              <w:kern w:val="2"/>
              <w:sz w:val="22"/>
              <w:szCs w:val="22"/>
              <w:lang/>
              <w14:ligatures w14:val="standardContextual"/>
            </w:rPr>
          </w:pPr>
          <w:hyperlink w:anchor="_Toc152920024" w:history="1">
            <w:r w:rsidR="00301573" w:rsidRPr="00266AF9">
              <w:rPr>
                <w:rStyle w:val="Hyperlnk"/>
                <w:noProof/>
              </w:rPr>
              <w:t>Användning av verktyget</w:t>
            </w:r>
            <w:r w:rsidR="00301573">
              <w:rPr>
                <w:noProof/>
                <w:webHidden/>
              </w:rPr>
              <w:tab/>
            </w:r>
            <w:r w:rsidR="00301573">
              <w:rPr>
                <w:noProof/>
                <w:webHidden/>
              </w:rPr>
              <w:fldChar w:fldCharType="begin"/>
            </w:r>
            <w:r w:rsidR="00301573">
              <w:rPr>
                <w:noProof/>
                <w:webHidden/>
              </w:rPr>
              <w:instrText xml:space="preserve"> PAGEREF _Toc152920024 \h </w:instrText>
            </w:r>
            <w:r w:rsidR="00301573">
              <w:rPr>
                <w:noProof/>
                <w:webHidden/>
              </w:rPr>
            </w:r>
            <w:r w:rsidR="00301573">
              <w:rPr>
                <w:noProof/>
                <w:webHidden/>
              </w:rPr>
              <w:fldChar w:fldCharType="separate"/>
            </w:r>
            <w:r w:rsidR="00301573">
              <w:rPr>
                <w:noProof/>
                <w:webHidden/>
              </w:rPr>
              <w:t>11</w:t>
            </w:r>
            <w:r w:rsidR="00301573">
              <w:rPr>
                <w:noProof/>
                <w:webHidden/>
              </w:rPr>
              <w:fldChar w:fldCharType="end"/>
            </w:r>
          </w:hyperlink>
        </w:p>
        <w:p w14:paraId="5C2A0F1B" w14:textId="4A76DF84"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25" w:history="1">
            <w:r w:rsidR="00301573" w:rsidRPr="00266AF9">
              <w:rPr>
                <w:rStyle w:val="Hyperlnk"/>
                <w:noProof/>
              </w:rPr>
              <w:t>Inmatning</w:t>
            </w:r>
            <w:r w:rsidR="00301573">
              <w:rPr>
                <w:noProof/>
                <w:webHidden/>
              </w:rPr>
              <w:tab/>
            </w:r>
            <w:r w:rsidR="00301573">
              <w:rPr>
                <w:noProof/>
                <w:webHidden/>
              </w:rPr>
              <w:fldChar w:fldCharType="begin"/>
            </w:r>
            <w:r w:rsidR="00301573">
              <w:rPr>
                <w:noProof/>
                <w:webHidden/>
              </w:rPr>
              <w:instrText xml:space="preserve"> PAGEREF _Toc152920025 \h </w:instrText>
            </w:r>
            <w:r w:rsidR="00301573">
              <w:rPr>
                <w:noProof/>
                <w:webHidden/>
              </w:rPr>
            </w:r>
            <w:r w:rsidR="00301573">
              <w:rPr>
                <w:noProof/>
                <w:webHidden/>
              </w:rPr>
              <w:fldChar w:fldCharType="separate"/>
            </w:r>
            <w:r w:rsidR="00301573">
              <w:rPr>
                <w:noProof/>
                <w:webHidden/>
              </w:rPr>
              <w:t>11</w:t>
            </w:r>
            <w:r w:rsidR="00301573">
              <w:rPr>
                <w:noProof/>
                <w:webHidden/>
              </w:rPr>
              <w:fldChar w:fldCharType="end"/>
            </w:r>
          </w:hyperlink>
        </w:p>
        <w:p w14:paraId="54925B58" w14:textId="18FCBCB1"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26" w:history="1">
            <w:r w:rsidR="00301573" w:rsidRPr="00266AF9">
              <w:rPr>
                <w:rStyle w:val="Hyperlnk"/>
                <w:noProof/>
              </w:rPr>
              <w:t>Komplettering med klimatberäkningar från tidigare år</w:t>
            </w:r>
            <w:r w:rsidR="00301573">
              <w:rPr>
                <w:noProof/>
                <w:webHidden/>
              </w:rPr>
              <w:tab/>
            </w:r>
            <w:r w:rsidR="00301573">
              <w:rPr>
                <w:noProof/>
                <w:webHidden/>
              </w:rPr>
              <w:fldChar w:fldCharType="begin"/>
            </w:r>
            <w:r w:rsidR="00301573">
              <w:rPr>
                <w:noProof/>
                <w:webHidden/>
              </w:rPr>
              <w:instrText xml:space="preserve"> PAGEREF _Toc152920026 \h </w:instrText>
            </w:r>
            <w:r w:rsidR="00301573">
              <w:rPr>
                <w:noProof/>
                <w:webHidden/>
              </w:rPr>
            </w:r>
            <w:r w:rsidR="00301573">
              <w:rPr>
                <w:noProof/>
                <w:webHidden/>
              </w:rPr>
              <w:fldChar w:fldCharType="separate"/>
            </w:r>
            <w:r w:rsidR="00301573">
              <w:rPr>
                <w:noProof/>
                <w:webHidden/>
              </w:rPr>
              <w:t>11</w:t>
            </w:r>
            <w:r w:rsidR="00301573">
              <w:rPr>
                <w:noProof/>
                <w:webHidden/>
              </w:rPr>
              <w:fldChar w:fldCharType="end"/>
            </w:r>
          </w:hyperlink>
        </w:p>
        <w:p w14:paraId="0DC72553" w14:textId="3BDD5F47"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27" w:history="1">
            <w:r w:rsidR="00301573" w:rsidRPr="00266AF9">
              <w:rPr>
                <w:rStyle w:val="Hyperlnk"/>
                <w:noProof/>
              </w:rPr>
              <w:t>Presentation av resultatet</w:t>
            </w:r>
            <w:r w:rsidR="00301573">
              <w:rPr>
                <w:noProof/>
                <w:webHidden/>
              </w:rPr>
              <w:tab/>
            </w:r>
            <w:r w:rsidR="00301573">
              <w:rPr>
                <w:noProof/>
                <w:webHidden/>
              </w:rPr>
              <w:fldChar w:fldCharType="begin"/>
            </w:r>
            <w:r w:rsidR="00301573">
              <w:rPr>
                <w:noProof/>
                <w:webHidden/>
              </w:rPr>
              <w:instrText xml:space="preserve"> PAGEREF _Toc152920027 \h </w:instrText>
            </w:r>
            <w:r w:rsidR="00301573">
              <w:rPr>
                <w:noProof/>
                <w:webHidden/>
              </w:rPr>
            </w:r>
            <w:r w:rsidR="00301573">
              <w:rPr>
                <w:noProof/>
                <w:webHidden/>
              </w:rPr>
              <w:fldChar w:fldCharType="separate"/>
            </w:r>
            <w:r w:rsidR="00301573">
              <w:rPr>
                <w:noProof/>
                <w:webHidden/>
              </w:rPr>
              <w:t>11</w:t>
            </w:r>
            <w:r w:rsidR="00301573">
              <w:rPr>
                <w:noProof/>
                <w:webHidden/>
              </w:rPr>
              <w:fldChar w:fldCharType="end"/>
            </w:r>
          </w:hyperlink>
        </w:p>
        <w:p w14:paraId="2BEF9946" w14:textId="78F9BFB7" w:rsidR="00301573" w:rsidRDefault="00787962">
          <w:pPr>
            <w:pStyle w:val="Innehll1"/>
            <w:rPr>
              <w:rFonts w:asciiTheme="minorHAnsi" w:eastAsiaTheme="minorEastAsia" w:hAnsiTheme="minorHAnsi"/>
              <w:noProof/>
              <w:spacing w:val="0"/>
              <w:kern w:val="2"/>
              <w:sz w:val="22"/>
              <w:szCs w:val="22"/>
              <w:lang/>
              <w14:ligatures w14:val="standardContextual"/>
            </w:rPr>
          </w:pPr>
          <w:hyperlink w:anchor="_Toc152920028" w:history="1">
            <w:r w:rsidR="00301573" w:rsidRPr="00266AF9">
              <w:rPr>
                <w:rStyle w:val="Hyperlnk"/>
                <w:noProof/>
              </w:rPr>
              <w:t>Klimatredovisningens innehåll, poster och beräkningsmetoder</w:t>
            </w:r>
            <w:r w:rsidR="00301573">
              <w:rPr>
                <w:noProof/>
                <w:webHidden/>
              </w:rPr>
              <w:tab/>
            </w:r>
            <w:r w:rsidR="00301573">
              <w:rPr>
                <w:noProof/>
                <w:webHidden/>
              </w:rPr>
              <w:fldChar w:fldCharType="begin"/>
            </w:r>
            <w:r w:rsidR="00301573">
              <w:rPr>
                <w:noProof/>
                <w:webHidden/>
              </w:rPr>
              <w:instrText xml:space="preserve"> PAGEREF _Toc152920028 \h </w:instrText>
            </w:r>
            <w:r w:rsidR="00301573">
              <w:rPr>
                <w:noProof/>
                <w:webHidden/>
              </w:rPr>
            </w:r>
            <w:r w:rsidR="00301573">
              <w:rPr>
                <w:noProof/>
                <w:webHidden/>
              </w:rPr>
              <w:fldChar w:fldCharType="separate"/>
            </w:r>
            <w:r w:rsidR="00301573">
              <w:rPr>
                <w:noProof/>
                <w:webHidden/>
              </w:rPr>
              <w:t>14</w:t>
            </w:r>
            <w:r w:rsidR="00301573">
              <w:rPr>
                <w:noProof/>
                <w:webHidden/>
              </w:rPr>
              <w:fldChar w:fldCharType="end"/>
            </w:r>
          </w:hyperlink>
        </w:p>
        <w:p w14:paraId="21D7EE25" w14:textId="4A36833F" w:rsidR="00301573" w:rsidRDefault="00787962">
          <w:pPr>
            <w:pStyle w:val="Innehll2"/>
            <w:tabs>
              <w:tab w:val="left" w:pos="660"/>
            </w:tabs>
            <w:rPr>
              <w:rFonts w:asciiTheme="minorHAnsi" w:eastAsiaTheme="minorEastAsia" w:hAnsiTheme="minorHAnsi"/>
              <w:noProof/>
              <w:spacing w:val="0"/>
              <w:kern w:val="2"/>
              <w:sz w:val="22"/>
              <w:szCs w:val="22"/>
              <w:lang/>
              <w14:ligatures w14:val="standardContextual"/>
            </w:rPr>
          </w:pPr>
          <w:hyperlink w:anchor="_Toc152920029" w:history="1">
            <w:r w:rsidR="00301573" w:rsidRPr="00266AF9">
              <w:rPr>
                <w:rStyle w:val="Hyperlnk"/>
                <w:noProof/>
              </w:rPr>
              <w:t>1.</w:t>
            </w:r>
            <w:r w:rsidR="00301573">
              <w:rPr>
                <w:rFonts w:asciiTheme="minorHAnsi" w:eastAsiaTheme="minorEastAsia" w:hAnsiTheme="minorHAnsi"/>
                <w:noProof/>
                <w:spacing w:val="0"/>
                <w:kern w:val="2"/>
                <w:sz w:val="22"/>
                <w:szCs w:val="22"/>
                <w:lang/>
                <w14:ligatures w14:val="standardContextual"/>
              </w:rPr>
              <w:tab/>
            </w:r>
            <w:r w:rsidR="00301573" w:rsidRPr="00266AF9">
              <w:rPr>
                <w:rStyle w:val="Hyperlnk"/>
                <w:noProof/>
              </w:rPr>
              <w:t>Fastigheter</w:t>
            </w:r>
            <w:r w:rsidR="00301573">
              <w:rPr>
                <w:noProof/>
                <w:webHidden/>
              </w:rPr>
              <w:tab/>
            </w:r>
            <w:r w:rsidR="00301573">
              <w:rPr>
                <w:noProof/>
                <w:webHidden/>
              </w:rPr>
              <w:fldChar w:fldCharType="begin"/>
            </w:r>
            <w:r w:rsidR="00301573">
              <w:rPr>
                <w:noProof/>
                <w:webHidden/>
              </w:rPr>
              <w:instrText xml:space="preserve"> PAGEREF _Toc152920029 \h </w:instrText>
            </w:r>
            <w:r w:rsidR="00301573">
              <w:rPr>
                <w:noProof/>
                <w:webHidden/>
              </w:rPr>
            </w:r>
            <w:r w:rsidR="00301573">
              <w:rPr>
                <w:noProof/>
                <w:webHidden/>
              </w:rPr>
              <w:fldChar w:fldCharType="separate"/>
            </w:r>
            <w:r w:rsidR="00301573">
              <w:rPr>
                <w:noProof/>
                <w:webHidden/>
              </w:rPr>
              <w:t>14</w:t>
            </w:r>
            <w:r w:rsidR="00301573">
              <w:rPr>
                <w:noProof/>
                <w:webHidden/>
              </w:rPr>
              <w:fldChar w:fldCharType="end"/>
            </w:r>
          </w:hyperlink>
        </w:p>
        <w:p w14:paraId="73D7C181" w14:textId="4B0ACD13"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30" w:history="1">
            <w:r w:rsidR="00301573" w:rsidRPr="00266AF9">
              <w:rPr>
                <w:rStyle w:val="Hyperlnk"/>
                <w:noProof/>
              </w:rPr>
              <w:t>El</w:t>
            </w:r>
            <w:r w:rsidR="00301573">
              <w:rPr>
                <w:noProof/>
                <w:webHidden/>
              </w:rPr>
              <w:tab/>
            </w:r>
            <w:r w:rsidR="00301573">
              <w:rPr>
                <w:noProof/>
                <w:webHidden/>
              </w:rPr>
              <w:fldChar w:fldCharType="begin"/>
            </w:r>
            <w:r w:rsidR="00301573">
              <w:rPr>
                <w:noProof/>
                <w:webHidden/>
              </w:rPr>
              <w:instrText xml:space="preserve"> PAGEREF _Toc152920030 \h </w:instrText>
            </w:r>
            <w:r w:rsidR="00301573">
              <w:rPr>
                <w:noProof/>
                <w:webHidden/>
              </w:rPr>
            </w:r>
            <w:r w:rsidR="00301573">
              <w:rPr>
                <w:noProof/>
                <w:webHidden/>
              </w:rPr>
              <w:fldChar w:fldCharType="separate"/>
            </w:r>
            <w:r w:rsidR="00301573">
              <w:rPr>
                <w:noProof/>
                <w:webHidden/>
              </w:rPr>
              <w:t>15</w:t>
            </w:r>
            <w:r w:rsidR="00301573">
              <w:rPr>
                <w:noProof/>
                <w:webHidden/>
              </w:rPr>
              <w:fldChar w:fldCharType="end"/>
            </w:r>
          </w:hyperlink>
        </w:p>
        <w:p w14:paraId="37275751" w14:textId="7A92C5DD"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31" w:history="1">
            <w:r w:rsidR="00301573" w:rsidRPr="00266AF9">
              <w:rPr>
                <w:rStyle w:val="Hyperlnk"/>
                <w:noProof/>
              </w:rPr>
              <w:t>Värme och kyla</w:t>
            </w:r>
            <w:r w:rsidR="00301573">
              <w:rPr>
                <w:noProof/>
                <w:webHidden/>
              </w:rPr>
              <w:tab/>
            </w:r>
            <w:r w:rsidR="00301573">
              <w:rPr>
                <w:noProof/>
                <w:webHidden/>
              </w:rPr>
              <w:fldChar w:fldCharType="begin"/>
            </w:r>
            <w:r w:rsidR="00301573">
              <w:rPr>
                <w:noProof/>
                <w:webHidden/>
              </w:rPr>
              <w:instrText xml:space="preserve"> PAGEREF _Toc152920031 \h </w:instrText>
            </w:r>
            <w:r w:rsidR="00301573">
              <w:rPr>
                <w:noProof/>
                <w:webHidden/>
              </w:rPr>
            </w:r>
            <w:r w:rsidR="00301573">
              <w:rPr>
                <w:noProof/>
                <w:webHidden/>
              </w:rPr>
              <w:fldChar w:fldCharType="separate"/>
            </w:r>
            <w:r w:rsidR="00301573">
              <w:rPr>
                <w:noProof/>
                <w:webHidden/>
              </w:rPr>
              <w:t>15</w:t>
            </w:r>
            <w:r w:rsidR="00301573">
              <w:rPr>
                <w:noProof/>
                <w:webHidden/>
              </w:rPr>
              <w:fldChar w:fldCharType="end"/>
            </w:r>
          </w:hyperlink>
        </w:p>
        <w:p w14:paraId="7B4D962A" w14:textId="6D5B378B"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32" w:history="1">
            <w:r w:rsidR="00301573" w:rsidRPr="00266AF9">
              <w:rPr>
                <w:rStyle w:val="Hyperlnk"/>
                <w:noProof/>
              </w:rPr>
              <w:t>Köldmedia</w:t>
            </w:r>
            <w:r w:rsidR="00301573">
              <w:rPr>
                <w:noProof/>
                <w:webHidden/>
              </w:rPr>
              <w:tab/>
            </w:r>
            <w:r w:rsidR="00301573">
              <w:rPr>
                <w:noProof/>
                <w:webHidden/>
              </w:rPr>
              <w:fldChar w:fldCharType="begin"/>
            </w:r>
            <w:r w:rsidR="00301573">
              <w:rPr>
                <w:noProof/>
                <w:webHidden/>
              </w:rPr>
              <w:instrText xml:space="preserve"> PAGEREF _Toc152920032 \h </w:instrText>
            </w:r>
            <w:r w:rsidR="00301573">
              <w:rPr>
                <w:noProof/>
                <w:webHidden/>
              </w:rPr>
            </w:r>
            <w:r w:rsidR="00301573">
              <w:rPr>
                <w:noProof/>
                <w:webHidden/>
              </w:rPr>
              <w:fldChar w:fldCharType="separate"/>
            </w:r>
            <w:r w:rsidR="00301573">
              <w:rPr>
                <w:noProof/>
                <w:webHidden/>
              </w:rPr>
              <w:t>16</w:t>
            </w:r>
            <w:r w:rsidR="00301573">
              <w:rPr>
                <w:noProof/>
                <w:webHidden/>
              </w:rPr>
              <w:fldChar w:fldCharType="end"/>
            </w:r>
          </w:hyperlink>
        </w:p>
        <w:p w14:paraId="6A86BDFE" w14:textId="408DDC31"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33" w:history="1">
            <w:r w:rsidR="00301573" w:rsidRPr="00266AF9">
              <w:rPr>
                <w:rStyle w:val="Hyperlnk"/>
                <w:noProof/>
              </w:rPr>
              <w:t>Reservkraft</w:t>
            </w:r>
            <w:r w:rsidR="00301573">
              <w:rPr>
                <w:noProof/>
                <w:webHidden/>
              </w:rPr>
              <w:tab/>
            </w:r>
            <w:r w:rsidR="00301573">
              <w:rPr>
                <w:noProof/>
                <w:webHidden/>
              </w:rPr>
              <w:fldChar w:fldCharType="begin"/>
            </w:r>
            <w:r w:rsidR="00301573">
              <w:rPr>
                <w:noProof/>
                <w:webHidden/>
              </w:rPr>
              <w:instrText xml:space="preserve"> PAGEREF _Toc152920033 \h </w:instrText>
            </w:r>
            <w:r w:rsidR="00301573">
              <w:rPr>
                <w:noProof/>
                <w:webHidden/>
              </w:rPr>
            </w:r>
            <w:r w:rsidR="00301573">
              <w:rPr>
                <w:noProof/>
                <w:webHidden/>
              </w:rPr>
              <w:fldChar w:fldCharType="separate"/>
            </w:r>
            <w:r w:rsidR="00301573">
              <w:rPr>
                <w:noProof/>
                <w:webHidden/>
              </w:rPr>
              <w:t>16</w:t>
            </w:r>
            <w:r w:rsidR="00301573">
              <w:rPr>
                <w:noProof/>
                <w:webHidden/>
              </w:rPr>
              <w:fldChar w:fldCharType="end"/>
            </w:r>
          </w:hyperlink>
        </w:p>
        <w:p w14:paraId="4E33B97A" w14:textId="4CCA12DC"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34" w:history="1">
            <w:r w:rsidR="00301573" w:rsidRPr="00266AF9">
              <w:rPr>
                <w:rStyle w:val="Hyperlnk"/>
                <w:noProof/>
              </w:rPr>
              <w:t>Vattenförbrukning</w:t>
            </w:r>
            <w:r w:rsidR="00301573">
              <w:rPr>
                <w:noProof/>
                <w:webHidden/>
              </w:rPr>
              <w:tab/>
            </w:r>
            <w:r w:rsidR="00301573">
              <w:rPr>
                <w:noProof/>
                <w:webHidden/>
              </w:rPr>
              <w:fldChar w:fldCharType="begin"/>
            </w:r>
            <w:r w:rsidR="00301573">
              <w:rPr>
                <w:noProof/>
                <w:webHidden/>
              </w:rPr>
              <w:instrText xml:space="preserve"> PAGEREF _Toc152920034 \h </w:instrText>
            </w:r>
            <w:r w:rsidR="00301573">
              <w:rPr>
                <w:noProof/>
                <w:webHidden/>
              </w:rPr>
            </w:r>
            <w:r w:rsidR="00301573">
              <w:rPr>
                <w:noProof/>
                <w:webHidden/>
              </w:rPr>
              <w:fldChar w:fldCharType="separate"/>
            </w:r>
            <w:r w:rsidR="00301573">
              <w:rPr>
                <w:noProof/>
                <w:webHidden/>
              </w:rPr>
              <w:t>17</w:t>
            </w:r>
            <w:r w:rsidR="00301573">
              <w:rPr>
                <w:noProof/>
                <w:webHidden/>
              </w:rPr>
              <w:fldChar w:fldCharType="end"/>
            </w:r>
          </w:hyperlink>
        </w:p>
        <w:p w14:paraId="315F4EFE" w14:textId="5F0EBA0F"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35" w:history="1">
            <w:r w:rsidR="00301573" w:rsidRPr="00266AF9">
              <w:rPr>
                <w:rStyle w:val="Hyperlnk"/>
                <w:noProof/>
              </w:rPr>
              <w:t>Yttre skötsel</w:t>
            </w:r>
            <w:r w:rsidR="00301573">
              <w:rPr>
                <w:noProof/>
                <w:webHidden/>
              </w:rPr>
              <w:tab/>
            </w:r>
            <w:r w:rsidR="00301573">
              <w:rPr>
                <w:noProof/>
                <w:webHidden/>
              </w:rPr>
              <w:fldChar w:fldCharType="begin"/>
            </w:r>
            <w:r w:rsidR="00301573">
              <w:rPr>
                <w:noProof/>
                <w:webHidden/>
              </w:rPr>
              <w:instrText xml:space="preserve"> PAGEREF _Toc152920035 \h </w:instrText>
            </w:r>
            <w:r w:rsidR="00301573">
              <w:rPr>
                <w:noProof/>
                <w:webHidden/>
              </w:rPr>
            </w:r>
            <w:r w:rsidR="00301573">
              <w:rPr>
                <w:noProof/>
                <w:webHidden/>
              </w:rPr>
              <w:fldChar w:fldCharType="separate"/>
            </w:r>
            <w:r w:rsidR="00301573">
              <w:rPr>
                <w:noProof/>
                <w:webHidden/>
              </w:rPr>
              <w:t>17</w:t>
            </w:r>
            <w:r w:rsidR="00301573">
              <w:rPr>
                <w:noProof/>
                <w:webHidden/>
              </w:rPr>
              <w:fldChar w:fldCharType="end"/>
            </w:r>
          </w:hyperlink>
        </w:p>
        <w:p w14:paraId="30663FAA" w14:textId="6FCDE047"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36" w:history="1">
            <w:r w:rsidR="00301573" w:rsidRPr="00266AF9">
              <w:rPr>
                <w:rStyle w:val="Hyperlnk"/>
                <w:noProof/>
              </w:rPr>
              <w:t>Ny- och ombyggnation samt reparation</w:t>
            </w:r>
            <w:r w:rsidR="00301573">
              <w:rPr>
                <w:noProof/>
                <w:webHidden/>
              </w:rPr>
              <w:tab/>
            </w:r>
            <w:r w:rsidR="00301573">
              <w:rPr>
                <w:noProof/>
                <w:webHidden/>
              </w:rPr>
              <w:fldChar w:fldCharType="begin"/>
            </w:r>
            <w:r w:rsidR="00301573">
              <w:rPr>
                <w:noProof/>
                <w:webHidden/>
              </w:rPr>
              <w:instrText xml:space="preserve"> PAGEREF _Toc152920036 \h </w:instrText>
            </w:r>
            <w:r w:rsidR="00301573">
              <w:rPr>
                <w:noProof/>
                <w:webHidden/>
              </w:rPr>
            </w:r>
            <w:r w:rsidR="00301573">
              <w:rPr>
                <w:noProof/>
                <w:webHidden/>
              </w:rPr>
              <w:fldChar w:fldCharType="separate"/>
            </w:r>
            <w:r w:rsidR="00301573">
              <w:rPr>
                <w:noProof/>
                <w:webHidden/>
              </w:rPr>
              <w:t>17</w:t>
            </w:r>
            <w:r w:rsidR="00301573">
              <w:rPr>
                <w:noProof/>
                <w:webHidden/>
              </w:rPr>
              <w:fldChar w:fldCharType="end"/>
            </w:r>
          </w:hyperlink>
        </w:p>
        <w:p w14:paraId="5DA52AFB" w14:textId="52A72B65" w:rsidR="00301573" w:rsidRDefault="00787962">
          <w:pPr>
            <w:pStyle w:val="Innehll2"/>
            <w:tabs>
              <w:tab w:val="left" w:pos="660"/>
            </w:tabs>
            <w:rPr>
              <w:rFonts w:asciiTheme="minorHAnsi" w:eastAsiaTheme="minorEastAsia" w:hAnsiTheme="minorHAnsi"/>
              <w:noProof/>
              <w:spacing w:val="0"/>
              <w:kern w:val="2"/>
              <w:sz w:val="22"/>
              <w:szCs w:val="22"/>
              <w:lang/>
              <w14:ligatures w14:val="standardContextual"/>
            </w:rPr>
          </w:pPr>
          <w:hyperlink w:anchor="_Toc152920037" w:history="1">
            <w:r w:rsidR="00301573" w:rsidRPr="00266AF9">
              <w:rPr>
                <w:rStyle w:val="Hyperlnk"/>
                <w:noProof/>
              </w:rPr>
              <w:t>2.</w:t>
            </w:r>
            <w:r w:rsidR="00301573">
              <w:rPr>
                <w:rFonts w:asciiTheme="minorHAnsi" w:eastAsiaTheme="minorEastAsia" w:hAnsiTheme="minorHAnsi"/>
                <w:noProof/>
                <w:spacing w:val="0"/>
                <w:kern w:val="2"/>
                <w:sz w:val="22"/>
                <w:szCs w:val="22"/>
                <w:lang/>
                <w14:ligatures w14:val="standardContextual"/>
              </w:rPr>
              <w:tab/>
            </w:r>
            <w:r w:rsidR="00301573" w:rsidRPr="00266AF9">
              <w:rPr>
                <w:rStyle w:val="Hyperlnk"/>
                <w:noProof/>
              </w:rPr>
              <w:t>Resor och transporter</w:t>
            </w:r>
            <w:r w:rsidR="00301573">
              <w:rPr>
                <w:noProof/>
                <w:webHidden/>
              </w:rPr>
              <w:tab/>
            </w:r>
            <w:r w:rsidR="00301573">
              <w:rPr>
                <w:noProof/>
                <w:webHidden/>
              </w:rPr>
              <w:fldChar w:fldCharType="begin"/>
            </w:r>
            <w:r w:rsidR="00301573">
              <w:rPr>
                <w:noProof/>
                <w:webHidden/>
              </w:rPr>
              <w:instrText xml:space="preserve"> PAGEREF _Toc152920037 \h </w:instrText>
            </w:r>
            <w:r w:rsidR="00301573">
              <w:rPr>
                <w:noProof/>
                <w:webHidden/>
              </w:rPr>
            </w:r>
            <w:r w:rsidR="00301573">
              <w:rPr>
                <w:noProof/>
                <w:webHidden/>
              </w:rPr>
              <w:fldChar w:fldCharType="separate"/>
            </w:r>
            <w:r w:rsidR="00301573">
              <w:rPr>
                <w:noProof/>
                <w:webHidden/>
              </w:rPr>
              <w:t>20</w:t>
            </w:r>
            <w:r w:rsidR="00301573">
              <w:rPr>
                <w:noProof/>
                <w:webHidden/>
              </w:rPr>
              <w:fldChar w:fldCharType="end"/>
            </w:r>
          </w:hyperlink>
        </w:p>
        <w:p w14:paraId="246ED14D" w14:textId="7B22B7D2"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38" w:history="1">
            <w:r w:rsidR="00301573" w:rsidRPr="00266AF9">
              <w:rPr>
                <w:rStyle w:val="Hyperlnk"/>
                <w:noProof/>
              </w:rPr>
              <w:t>Allmän kollektivtrafik</w:t>
            </w:r>
            <w:r w:rsidR="00301573">
              <w:rPr>
                <w:noProof/>
                <w:webHidden/>
              </w:rPr>
              <w:tab/>
            </w:r>
            <w:r w:rsidR="00301573">
              <w:rPr>
                <w:noProof/>
                <w:webHidden/>
              </w:rPr>
              <w:fldChar w:fldCharType="begin"/>
            </w:r>
            <w:r w:rsidR="00301573">
              <w:rPr>
                <w:noProof/>
                <w:webHidden/>
              </w:rPr>
              <w:instrText xml:space="preserve"> PAGEREF _Toc152920038 \h </w:instrText>
            </w:r>
            <w:r w:rsidR="00301573">
              <w:rPr>
                <w:noProof/>
                <w:webHidden/>
              </w:rPr>
            </w:r>
            <w:r w:rsidR="00301573">
              <w:rPr>
                <w:noProof/>
                <w:webHidden/>
              </w:rPr>
              <w:fldChar w:fldCharType="separate"/>
            </w:r>
            <w:r w:rsidR="00301573">
              <w:rPr>
                <w:noProof/>
                <w:webHidden/>
              </w:rPr>
              <w:t>20</w:t>
            </w:r>
            <w:r w:rsidR="00301573">
              <w:rPr>
                <w:noProof/>
                <w:webHidden/>
              </w:rPr>
              <w:fldChar w:fldCharType="end"/>
            </w:r>
          </w:hyperlink>
        </w:p>
        <w:p w14:paraId="4A6042F3" w14:textId="2D174558"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39" w:history="1">
            <w:r w:rsidR="00301573" w:rsidRPr="00266AF9">
              <w:rPr>
                <w:rStyle w:val="Hyperlnk"/>
                <w:noProof/>
              </w:rPr>
              <w:t>Särskild kollektivtrafik och serviceresor</w:t>
            </w:r>
            <w:r w:rsidR="00301573">
              <w:rPr>
                <w:noProof/>
                <w:webHidden/>
              </w:rPr>
              <w:tab/>
            </w:r>
            <w:r w:rsidR="00301573">
              <w:rPr>
                <w:noProof/>
                <w:webHidden/>
              </w:rPr>
              <w:fldChar w:fldCharType="begin"/>
            </w:r>
            <w:r w:rsidR="00301573">
              <w:rPr>
                <w:noProof/>
                <w:webHidden/>
              </w:rPr>
              <w:instrText xml:space="preserve"> PAGEREF _Toc152920039 \h </w:instrText>
            </w:r>
            <w:r w:rsidR="00301573">
              <w:rPr>
                <w:noProof/>
                <w:webHidden/>
              </w:rPr>
            </w:r>
            <w:r w:rsidR="00301573">
              <w:rPr>
                <w:noProof/>
                <w:webHidden/>
              </w:rPr>
              <w:fldChar w:fldCharType="separate"/>
            </w:r>
            <w:r w:rsidR="00301573">
              <w:rPr>
                <w:noProof/>
                <w:webHidden/>
              </w:rPr>
              <w:t>20</w:t>
            </w:r>
            <w:r w:rsidR="00301573">
              <w:rPr>
                <w:noProof/>
                <w:webHidden/>
              </w:rPr>
              <w:fldChar w:fldCharType="end"/>
            </w:r>
          </w:hyperlink>
        </w:p>
        <w:p w14:paraId="69F54528" w14:textId="780A76F5"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40" w:history="1">
            <w:r w:rsidR="00301573" w:rsidRPr="00266AF9">
              <w:rPr>
                <w:rStyle w:val="Hyperlnk"/>
                <w:noProof/>
              </w:rPr>
              <w:t>Ambulanstransporter</w:t>
            </w:r>
            <w:r w:rsidR="00301573">
              <w:rPr>
                <w:noProof/>
                <w:webHidden/>
              </w:rPr>
              <w:tab/>
            </w:r>
            <w:r w:rsidR="00301573">
              <w:rPr>
                <w:noProof/>
                <w:webHidden/>
              </w:rPr>
              <w:fldChar w:fldCharType="begin"/>
            </w:r>
            <w:r w:rsidR="00301573">
              <w:rPr>
                <w:noProof/>
                <w:webHidden/>
              </w:rPr>
              <w:instrText xml:space="preserve"> PAGEREF _Toc152920040 \h </w:instrText>
            </w:r>
            <w:r w:rsidR="00301573">
              <w:rPr>
                <w:noProof/>
                <w:webHidden/>
              </w:rPr>
            </w:r>
            <w:r w:rsidR="00301573">
              <w:rPr>
                <w:noProof/>
                <w:webHidden/>
              </w:rPr>
              <w:fldChar w:fldCharType="separate"/>
            </w:r>
            <w:r w:rsidR="00301573">
              <w:rPr>
                <w:noProof/>
                <w:webHidden/>
              </w:rPr>
              <w:t>21</w:t>
            </w:r>
            <w:r w:rsidR="00301573">
              <w:rPr>
                <w:noProof/>
                <w:webHidden/>
              </w:rPr>
              <w:fldChar w:fldCharType="end"/>
            </w:r>
          </w:hyperlink>
        </w:p>
        <w:p w14:paraId="016B0A6B" w14:textId="609E63AE"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41" w:history="1">
            <w:r w:rsidR="00301573" w:rsidRPr="00266AF9">
              <w:rPr>
                <w:rStyle w:val="Hyperlnk"/>
                <w:noProof/>
              </w:rPr>
              <w:t>Godstransporter</w:t>
            </w:r>
            <w:r w:rsidR="00301573">
              <w:rPr>
                <w:noProof/>
                <w:webHidden/>
              </w:rPr>
              <w:tab/>
            </w:r>
            <w:r w:rsidR="00301573">
              <w:rPr>
                <w:noProof/>
                <w:webHidden/>
              </w:rPr>
              <w:fldChar w:fldCharType="begin"/>
            </w:r>
            <w:r w:rsidR="00301573">
              <w:rPr>
                <w:noProof/>
                <w:webHidden/>
              </w:rPr>
              <w:instrText xml:space="preserve"> PAGEREF _Toc152920041 \h </w:instrText>
            </w:r>
            <w:r w:rsidR="00301573">
              <w:rPr>
                <w:noProof/>
                <w:webHidden/>
              </w:rPr>
            </w:r>
            <w:r w:rsidR="00301573">
              <w:rPr>
                <w:noProof/>
                <w:webHidden/>
              </w:rPr>
              <w:fldChar w:fldCharType="separate"/>
            </w:r>
            <w:r w:rsidR="00301573">
              <w:rPr>
                <w:noProof/>
                <w:webHidden/>
              </w:rPr>
              <w:t>22</w:t>
            </w:r>
            <w:r w:rsidR="00301573">
              <w:rPr>
                <w:noProof/>
                <w:webHidden/>
              </w:rPr>
              <w:fldChar w:fldCharType="end"/>
            </w:r>
          </w:hyperlink>
        </w:p>
        <w:p w14:paraId="027B5A28" w14:textId="0C313B0E"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42" w:history="1">
            <w:r w:rsidR="00301573" w:rsidRPr="00266AF9">
              <w:rPr>
                <w:rStyle w:val="Hyperlnk"/>
                <w:noProof/>
              </w:rPr>
              <w:t>Betalda patientresor</w:t>
            </w:r>
            <w:r w:rsidR="00301573">
              <w:rPr>
                <w:noProof/>
                <w:webHidden/>
              </w:rPr>
              <w:tab/>
            </w:r>
            <w:r w:rsidR="00301573">
              <w:rPr>
                <w:noProof/>
                <w:webHidden/>
              </w:rPr>
              <w:fldChar w:fldCharType="begin"/>
            </w:r>
            <w:r w:rsidR="00301573">
              <w:rPr>
                <w:noProof/>
                <w:webHidden/>
              </w:rPr>
              <w:instrText xml:space="preserve"> PAGEREF _Toc152920042 \h </w:instrText>
            </w:r>
            <w:r w:rsidR="00301573">
              <w:rPr>
                <w:noProof/>
                <w:webHidden/>
              </w:rPr>
            </w:r>
            <w:r w:rsidR="00301573">
              <w:rPr>
                <w:noProof/>
                <w:webHidden/>
              </w:rPr>
              <w:fldChar w:fldCharType="separate"/>
            </w:r>
            <w:r w:rsidR="00301573">
              <w:rPr>
                <w:noProof/>
                <w:webHidden/>
              </w:rPr>
              <w:t>23</w:t>
            </w:r>
            <w:r w:rsidR="00301573">
              <w:rPr>
                <w:noProof/>
                <w:webHidden/>
              </w:rPr>
              <w:fldChar w:fldCharType="end"/>
            </w:r>
          </w:hyperlink>
        </w:p>
        <w:p w14:paraId="513E553F" w14:textId="1398A6BD"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43" w:history="1">
            <w:r w:rsidR="00301573" w:rsidRPr="00266AF9">
              <w:rPr>
                <w:rStyle w:val="Hyperlnk"/>
                <w:noProof/>
              </w:rPr>
              <w:t>Ej betalda patientresor</w:t>
            </w:r>
            <w:r w:rsidR="00301573">
              <w:rPr>
                <w:noProof/>
                <w:webHidden/>
              </w:rPr>
              <w:tab/>
            </w:r>
            <w:r w:rsidR="00301573">
              <w:rPr>
                <w:noProof/>
                <w:webHidden/>
              </w:rPr>
              <w:fldChar w:fldCharType="begin"/>
            </w:r>
            <w:r w:rsidR="00301573">
              <w:rPr>
                <w:noProof/>
                <w:webHidden/>
              </w:rPr>
              <w:instrText xml:space="preserve"> PAGEREF _Toc152920043 \h </w:instrText>
            </w:r>
            <w:r w:rsidR="00301573">
              <w:rPr>
                <w:noProof/>
                <w:webHidden/>
              </w:rPr>
            </w:r>
            <w:r w:rsidR="00301573">
              <w:rPr>
                <w:noProof/>
                <w:webHidden/>
              </w:rPr>
              <w:fldChar w:fldCharType="separate"/>
            </w:r>
            <w:r w:rsidR="00301573">
              <w:rPr>
                <w:noProof/>
                <w:webHidden/>
              </w:rPr>
              <w:t>23</w:t>
            </w:r>
            <w:r w:rsidR="00301573">
              <w:rPr>
                <w:noProof/>
                <w:webHidden/>
              </w:rPr>
              <w:fldChar w:fldCharType="end"/>
            </w:r>
          </w:hyperlink>
        </w:p>
        <w:p w14:paraId="5F593760" w14:textId="6FDD734C"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44" w:history="1">
            <w:r w:rsidR="00301573" w:rsidRPr="00266AF9">
              <w:rPr>
                <w:rStyle w:val="Hyperlnk"/>
                <w:noProof/>
              </w:rPr>
              <w:t>Arbetspendling</w:t>
            </w:r>
            <w:r w:rsidR="00301573">
              <w:rPr>
                <w:noProof/>
                <w:webHidden/>
              </w:rPr>
              <w:tab/>
            </w:r>
            <w:r w:rsidR="00301573">
              <w:rPr>
                <w:noProof/>
                <w:webHidden/>
              </w:rPr>
              <w:fldChar w:fldCharType="begin"/>
            </w:r>
            <w:r w:rsidR="00301573">
              <w:rPr>
                <w:noProof/>
                <w:webHidden/>
              </w:rPr>
              <w:instrText xml:space="preserve"> PAGEREF _Toc152920044 \h </w:instrText>
            </w:r>
            <w:r w:rsidR="00301573">
              <w:rPr>
                <w:noProof/>
                <w:webHidden/>
              </w:rPr>
            </w:r>
            <w:r w:rsidR="00301573">
              <w:rPr>
                <w:noProof/>
                <w:webHidden/>
              </w:rPr>
              <w:fldChar w:fldCharType="separate"/>
            </w:r>
            <w:r w:rsidR="00301573">
              <w:rPr>
                <w:noProof/>
                <w:webHidden/>
              </w:rPr>
              <w:t>23</w:t>
            </w:r>
            <w:r w:rsidR="00301573">
              <w:rPr>
                <w:noProof/>
                <w:webHidden/>
              </w:rPr>
              <w:fldChar w:fldCharType="end"/>
            </w:r>
          </w:hyperlink>
        </w:p>
        <w:p w14:paraId="7CAE352A" w14:textId="1BC164FE"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45" w:history="1">
            <w:r w:rsidR="00301573" w:rsidRPr="00266AF9">
              <w:rPr>
                <w:rStyle w:val="Hyperlnk"/>
                <w:noProof/>
              </w:rPr>
              <w:t>Tjänsteresor</w:t>
            </w:r>
            <w:r w:rsidR="00301573">
              <w:rPr>
                <w:noProof/>
                <w:webHidden/>
              </w:rPr>
              <w:tab/>
            </w:r>
            <w:r w:rsidR="00301573">
              <w:rPr>
                <w:noProof/>
                <w:webHidden/>
              </w:rPr>
              <w:fldChar w:fldCharType="begin"/>
            </w:r>
            <w:r w:rsidR="00301573">
              <w:rPr>
                <w:noProof/>
                <w:webHidden/>
              </w:rPr>
              <w:instrText xml:space="preserve"> PAGEREF _Toc152920045 \h </w:instrText>
            </w:r>
            <w:r w:rsidR="00301573">
              <w:rPr>
                <w:noProof/>
                <w:webHidden/>
              </w:rPr>
            </w:r>
            <w:r w:rsidR="00301573">
              <w:rPr>
                <w:noProof/>
                <w:webHidden/>
              </w:rPr>
              <w:fldChar w:fldCharType="separate"/>
            </w:r>
            <w:r w:rsidR="00301573">
              <w:rPr>
                <w:noProof/>
                <w:webHidden/>
              </w:rPr>
              <w:t>24</w:t>
            </w:r>
            <w:r w:rsidR="00301573">
              <w:rPr>
                <w:noProof/>
                <w:webHidden/>
              </w:rPr>
              <w:fldChar w:fldCharType="end"/>
            </w:r>
          </w:hyperlink>
        </w:p>
        <w:p w14:paraId="423A7D8D" w14:textId="3EA1CF9C"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46" w:history="1">
            <w:r w:rsidR="00301573" w:rsidRPr="00266AF9">
              <w:rPr>
                <w:rStyle w:val="Hyperlnk"/>
                <w:noProof/>
              </w:rPr>
              <w:t>3. Inköp och resursanvändning</w:t>
            </w:r>
            <w:r w:rsidR="00301573">
              <w:rPr>
                <w:noProof/>
                <w:webHidden/>
              </w:rPr>
              <w:tab/>
            </w:r>
            <w:r w:rsidR="00301573">
              <w:rPr>
                <w:noProof/>
                <w:webHidden/>
              </w:rPr>
              <w:fldChar w:fldCharType="begin"/>
            </w:r>
            <w:r w:rsidR="00301573">
              <w:rPr>
                <w:noProof/>
                <w:webHidden/>
              </w:rPr>
              <w:instrText xml:space="preserve"> PAGEREF _Toc152920046 \h </w:instrText>
            </w:r>
            <w:r w:rsidR="00301573">
              <w:rPr>
                <w:noProof/>
                <w:webHidden/>
              </w:rPr>
            </w:r>
            <w:r w:rsidR="00301573">
              <w:rPr>
                <w:noProof/>
                <w:webHidden/>
              </w:rPr>
              <w:fldChar w:fldCharType="separate"/>
            </w:r>
            <w:r w:rsidR="00301573">
              <w:rPr>
                <w:noProof/>
                <w:webHidden/>
              </w:rPr>
              <w:t>26</w:t>
            </w:r>
            <w:r w:rsidR="00301573">
              <w:rPr>
                <w:noProof/>
                <w:webHidden/>
              </w:rPr>
              <w:fldChar w:fldCharType="end"/>
            </w:r>
          </w:hyperlink>
        </w:p>
        <w:p w14:paraId="58EF5646" w14:textId="06835387"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47" w:history="1">
            <w:r w:rsidR="00301573" w:rsidRPr="00266AF9">
              <w:rPr>
                <w:rStyle w:val="Hyperlnk"/>
                <w:noProof/>
              </w:rPr>
              <w:t>Medicinska gaser</w:t>
            </w:r>
            <w:r w:rsidR="00301573">
              <w:rPr>
                <w:noProof/>
                <w:webHidden/>
              </w:rPr>
              <w:tab/>
            </w:r>
            <w:r w:rsidR="00301573">
              <w:rPr>
                <w:noProof/>
                <w:webHidden/>
              </w:rPr>
              <w:fldChar w:fldCharType="begin"/>
            </w:r>
            <w:r w:rsidR="00301573">
              <w:rPr>
                <w:noProof/>
                <w:webHidden/>
              </w:rPr>
              <w:instrText xml:space="preserve"> PAGEREF _Toc152920047 \h </w:instrText>
            </w:r>
            <w:r w:rsidR="00301573">
              <w:rPr>
                <w:noProof/>
                <w:webHidden/>
              </w:rPr>
            </w:r>
            <w:r w:rsidR="00301573">
              <w:rPr>
                <w:noProof/>
                <w:webHidden/>
              </w:rPr>
              <w:fldChar w:fldCharType="separate"/>
            </w:r>
            <w:r w:rsidR="00301573">
              <w:rPr>
                <w:noProof/>
                <w:webHidden/>
              </w:rPr>
              <w:t>27</w:t>
            </w:r>
            <w:r w:rsidR="00301573">
              <w:rPr>
                <w:noProof/>
                <w:webHidden/>
              </w:rPr>
              <w:fldChar w:fldCharType="end"/>
            </w:r>
          </w:hyperlink>
        </w:p>
        <w:p w14:paraId="70CDA347" w14:textId="44B9B164"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48" w:history="1">
            <w:r w:rsidR="00301573" w:rsidRPr="00266AF9">
              <w:rPr>
                <w:rStyle w:val="Hyperlnk"/>
                <w:noProof/>
              </w:rPr>
              <w:t>Tvätteritjänster</w:t>
            </w:r>
            <w:r w:rsidR="00301573">
              <w:rPr>
                <w:noProof/>
                <w:webHidden/>
              </w:rPr>
              <w:tab/>
            </w:r>
            <w:r w:rsidR="00301573">
              <w:rPr>
                <w:noProof/>
                <w:webHidden/>
              </w:rPr>
              <w:fldChar w:fldCharType="begin"/>
            </w:r>
            <w:r w:rsidR="00301573">
              <w:rPr>
                <w:noProof/>
                <w:webHidden/>
              </w:rPr>
              <w:instrText xml:space="preserve"> PAGEREF _Toc152920048 \h </w:instrText>
            </w:r>
            <w:r w:rsidR="00301573">
              <w:rPr>
                <w:noProof/>
                <w:webHidden/>
              </w:rPr>
            </w:r>
            <w:r w:rsidR="00301573">
              <w:rPr>
                <w:noProof/>
                <w:webHidden/>
              </w:rPr>
              <w:fldChar w:fldCharType="separate"/>
            </w:r>
            <w:r w:rsidR="00301573">
              <w:rPr>
                <w:noProof/>
                <w:webHidden/>
              </w:rPr>
              <w:t>28</w:t>
            </w:r>
            <w:r w:rsidR="00301573">
              <w:rPr>
                <w:noProof/>
                <w:webHidden/>
              </w:rPr>
              <w:fldChar w:fldCharType="end"/>
            </w:r>
          </w:hyperlink>
        </w:p>
        <w:p w14:paraId="1BFDD18F" w14:textId="0E0438EF"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49" w:history="1">
            <w:r w:rsidR="00301573" w:rsidRPr="00266AF9">
              <w:rPr>
                <w:rStyle w:val="Hyperlnk"/>
                <w:noProof/>
              </w:rPr>
              <w:t>Inköp av varor - Livsmedel</w:t>
            </w:r>
            <w:r w:rsidR="00301573">
              <w:rPr>
                <w:noProof/>
                <w:webHidden/>
              </w:rPr>
              <w:tab/>
            </w:r>
            <w:r w:rsidR="00301573">
              <w:rPr>
                <w:noProof/>
                <w:webHidden/>
              </w:rPr>
              <w:fldChar w:fldCharType="begin"/>
            </w:r>
            <w:r w:rsidR="00301573">
              <w:rPr>
                <w:noProof/>
                <w:webHidden/>
              </w:rPr>
              <w:instrText xml:space="preserve"> PAGEREF _Toc152920049 \h </w:instrText>
            </w:r>
            <w:r w:rsidR="00301573">
              <w:rPr>
                <w:noProof/>
                <w:webHidden/>
              </w:rPr>
            </w:r>
            <w:r w:rsidR="00301573">
              <w:rPr>
                <w:noProof/>
                <w:webHidden/>
              </w:rPr>
              <w:fldChar w:fldCharType="separate"/>
            </w:r>
            <w:r w:rsidR="00301573">
              <w:rPr>
                <w:noProof/>
                <w:webHidden/>
              </w:rPr>
              <w:t>28</w:t>
            </w:r>
            <w:r w:rsidR="00301573">
              <w:rPr>
                <w:noProof/>
                <w:webHidden/>
              </w:rPr>
              <w:fldChar w:fldCharType="end"/>
            </w:r>
          </w:hyperlink>
        </w:p>
        <w:p w14:paraId="735D0AAD" w14:textId="7E319AC6"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0" w:history="1">
            <w:r w:rsidR="00301573" w:rsidRPr="00266AF9">
              <w:rPr>
                <w:rStyle w:val="Hyperlnk"/>
                <w:noProof/>
              </w:rPr>
              <w:t>Inköp av varor - IT och kommunikation</w:t>
            </w:r>
            <w:r w:rsidR="00301573">
              <w:rPr>
                <w:noProof/>
                <w:webHidden/>
              </w:rPr>
              <w:tab/>
            </w:r>
            <w:r w:rsidR="00301573">
              <w:rPr>
                <w:noProof/>
                <w:webHidden/>
              </w:rPr>
              <w:fldChar w:fldCharType="begin"/>
            </w:r>
            <w:r w:rsidR="00301573">
              <w:rPr>
                <w:noProof/>
                <w:webHidden/>
              </w:rPr>
              <w:instrText xml:space="preserve"> PAGEREF _Toc152920050 \h </w:instrText>
            </w:r>
            <w:r w:rsidR="00301573">
              <w:rPr>
                <w:noProof/>
                <w:webHidden/>
              </w:rPr>
            </w:r>
            <w:r w:rsidR="00301573">
              <w:rPr>
                <w:noProof/>
                <w:webHidden/>
              </w:rPr>
              <w:fldChar w:fldCharType="separate"/>
            </w:r>
            <w:r w:rsidR="00301573">
              <w:rPr>
                <w:noProof/>
                <w:webHidden/>
              </w:rPr>
              <w:t>29</w:t>
            </w:r>
            <w:r w:rsidR="00301573">
              <w:rPr>
                <w:noProof/>
                <w:webHidden/>
              </w:rPr>
              <w:fldChar w:fldCharType="end"/>
            </w:r>
          </w:hyperlink>
        </w:p>
        <w:p w14:paraId="536F83BC" w14:textId="4C5850B6"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1" w:history="1">
            <w:r w:rsidR="00301573" w:rsidRPr="00266AF9">
              <w:rPr>
                <w:rStyle w:val="Hyperlnk"/>
                <w:noProof/>
              </w:rPr>
              <w:t>Inköp av varor - Textilier</w:t>
            </w:r>
            <w:r w:rsidR="00301573">
              <w:rPr>
                <w:noProof/>
                <w:webHidden/>
              </w:rPr>
              <w:tab/>
            </w:r>
            <w:r w:rsidR="00301573">
              <w:rPr>
                <w:noProof/>
                <w:webHidden/>
              </w:rPr>
              <w:fldChar w:fldCharType="begin"/>
            </w:r>
            <w:r w:rsidR="00301573">
              <w:rPr>
                <w:noProof/>
                <w:webHidden/>
              </w:rPr>
              <w:instrText xml:space="preserve"> PAGEREF _Toc152920051 \h </w:instrText>
            </w:r>
            <w:r w:rsidR="00301573">
              <w:rPr>
                <w:noProof/>
                <w:webHidden/>
              </w:rPr>
            </w:r>
            <w:r w:rsidR="00301573">
              <w:rPr>
                <w:noProof/>
                <w:webHidden/>
              </w:rPr>
              <w:fldChar w:fldCharType="separate"/>
            </w:r>
            <w:r w:rsidR="00301573">
              <w:rPr>
                <w:noProof/>
                <w:webHidden/>
              </w:rPr>
              <w:t>29</w:t>
            </w:r>
            <w:r w:rsidR="00301573">
              <w:rPr>
                <w:noProof/>
                <w:webHidden/>
              </w:rPr>
              <w:fldChar w:fldCharType="end"/>
            </w:r>
          </w:hyperlink>
        </w:p>
        <w:p w14:paraId="781DAAEB" w14:textId="05B57DE8"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2" w:history="1">
            <w:r w:rsidR="00301573" w:rsidRPr="00266AF9">
              <w:rPr>
                <w:rStyle w:val="Hyperlnk"/>
                <w:noProof/>
              </w:rPr>
              <w:t>Inköp av varor - Möbler</w:t>
            </w:r>
            <w:r w:rsidR="00301573">
              <w:rPr>
                <w:noProof/>
                <w:webHidden/>
              </w:rPr>
              <w:tab/>
            </w:r>
            <w:r w:rsidR="00301573">
              <w:rPr>
                <w:noProof/>
                <w:webHidden/>
              </w:rPr>
              <w:fldChar w:fldCharType="begin"/>
            </w:r>
            <w:r w:rsidR="00301573">
              <w:rPr>
                <w:noProof/>
                <w:webHidden/>
              </w:rPr>
              <w:instrText xml:space="preserve"> PAGEREF _Toc152920052 \h </w:instrText>
            </w:r>
            <w:r w:rsidR="00301573">
              <w:rPr>
                <w:noProof/>
                <w:webHidden/>
              </w:rPr>
            </w:r>
            <w:r w:rsidR="00301573">
              <w:rPr>
                <w:noProof/>
                <w:webHidden/>
              </w:rPr>
              <w:fldChar w:fldCharType="separate"/>
            </w:r>
            <w:r w:rsidR="00301573">
              <w:rPr>
                <w:noProof/>
                <w:webHidden/>
              </w:rPr>
              <w:t>29</w:t>
            </w:r>
            <w:r w:rsidR="00301573">
              <w:rPr>
                <w:noProof/>
                <w:webHidden/>
              </w:rPr>
              <w:fldChar w:fldCharType="end"/>
            </w:r>
          </w:hyperlink>
        </w:p>
        <w:p w14:paraId="25330198" w14:textId="5FFC9D6E"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3" w:history="1">
            <w:r w:rsidR="00301573" w:rsidRPr="00266AF9">
              <w:rPr>
                <w:rStyle w:val="Hyperlnk"/>
                <w:noProof/>
              </w:rPr>
              <w:t>Inköp av varor - Hjälpmedel</w:t>
            </w:r>
            <w:r w:rsidR="00301573">
              <w:rPr>
                <w:noProof/>
                <w:webHidden/>
              </w:rPr>
              <w:tab/>
            </w:r>
            <w:r w:rsidR="00301573">
              <w:rPr>
                <w:noProof/>
                <w:webHidden/>
              </w:rPr>
              <w:fldChar w:fldCharType="begin"/>
            </w:r>
            <w:r w:rsidR="00301573">
              <w:rPr>
                <w:noProof/>
                <w:webHidden/>
              </w:rPr>
              <w:instrText xml:space="preserve"> PAGEREF _Toc152920053 \h </w:instrText>
            </w:r>
            <w:r w:rsidR="00301573">
              <w:rPr>
                <w:noProof/>
                <w:webHidden/>
              </w:rPr>
            </w:r>
            <w:r w:rsidR="00301573">
              <w:rPr>
                <w:noProof/>
                <w:webHidden/>
              </w:rPr>
              <w:fldChar w:fldCharType="separate"/>
            </w:r>
            <w:r w:rsidR="00301573">
              <w:rPr>
                <w:noProof/>
                <w:webHidden/>
              </w:rPr>
              <w:t>30</w:t>
            </w:r>
            <w:r w:rsidR="00301573">
              <w:rPr>
                <w:noProof/>
                <w:webHidden/>
              </w:rPr>
              <w:fldChar w:fldCharType="end"/>
            </w:r>
          </w:hyperlink>
        </w:p>
        <w:p w14:paraId="30D0E063" w14:textId="15C20F1E"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4" w:history="1">
            <w:r w:rsidR="00301573" w:rsidRPr="00266AF9">
              <w:rPr>
                <w:rStyle w:val="Hyperlnk"/>
                <w:noProof/>
              </w:rPr>
              <w:t>Inköp av varor - Medicinteknisk utrustning</w:t>
            </w:r>
            <w:r w:rsidR="00301573">
              <w:rPr>
                <w:noProof/>
                <w:webHidden/>
              </w:rPr>
              <w:tab/>
            </w:r>
            <w:r w:rsidR="00301573">
              <w:rPr>
                <w:noProof/>
                <w:webHidden/>
              </w:rPr>
              <w:fldChar w:fldCharType="begin"/>
            </w:r>
            <w:r w:rsidR="00301573">
              <w:rPr>
                <w:noProof/>
                <w:webHidden/>
              </w:rPr>
              <w:instrText xml:space="preserve"> PAGEREF _Toc152920054 \h </w:instrText>
            </w:r>
            <w:r w:rsidR="00301573">
              <w:rPr>
                <w:noProof/>
                <w:webHidden/>
              </w:rPr>
            </w:r>
            <w:r w:rsidR="00301573">
              <w:rPr>
                <w:noProof/>
                <w:webHidden/>
              </w:rPr>
              <w:fldChar w:fldCharType="separate"/>
            </w:r>
            <w:r w:rsidR="00301573">
              <w:rPr>
                <w:noProof/>
                <w:webHidden/>
              </w:rPr>
              <w:t>30</w:t>
            </w:r>
            <w:r w:rsidR="00301573">
              <w:rPr>
                <w:noProof/>
                <w:webHidden/>
              </w:rPr>
              <w:fldChar w:fldCharType="end"/>
            </w:r>
          </w:hyperlink>
        </w:p>
        <w:p w14:paraId="583D0A55" w14:textId="27952A7C"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5" w:history="1">
            <w:r w:rsidR="00301573" w:rsidRPr="00266AF9">
              <w:rPr>
                <w:rStyle w:val="Hyperlnk"/>
                <w:noProof/>
              </w:rPr>
              <w:t>Inköp av varor - Läkemedelsanvändning i verksamheten</w:t>
            </w:r>
            <w:r w:rsidR="00301573">
              <w:rPr>
                <w:noProof/>
                <w:webHidden/>
              </w:rPr>
              <w:tab/>
            </w:r>
            <w:r w:rsidR="00301573">
              <w:rPr>
                <w:noProof/>
                <w:webHidden/>
              </w:rPr>
              <w:fldChar w:fldCharType="begin"/>
            </w:r>
            <w:r w:rsidR="00301573">
              <w:rPr>
                <w:noProof/>
                <w:webHidden/>
              </w:rPr>
              <w:instrText xml:space="preserve"> PAGEREF _Toc152920055 \h </w:instrText>
            </w:r>
            <w:r w:rsidR="00301573">
              <w:rPr>
                <w:noProof/>
                <w:webHidden/>
              </w:rPr>
            </w:r>
            <w:r w:rsidR="00301573">
              <w:rPr>
                <w:noProof/>
                <w:webHidden/>
              </w:rPr>
              <w:fldChar w:fldCharType="separate"/>
            </w:r>
            <w:r w:rsidR="00301573">
              <w:rPr>
                <w:noProof/>
                <w:webHidden/>
              </w:rPr>
              <w:t>30</w:t>
            </w:r>
            <w:r w:rsidR="00301573">
              <w:rPr>
                <w:noProof/>
                <w:webHidden/>
              </w:rPr>
              <w:fldChar w:fldCharType="end"/>
            </w:r>
          </w:hyperlink>
        </w:p>
        <w:p w14:paraId="38C24CF3" w14:textId="3C75633A"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6" w:history="1">
            <w:r w:rsidR="00301573" w:rsidRPr="00266AF9">
              <w:rPr>
                <w:rStyle w:val="Hyperlnk"/>
                <w:noProof/>
              </w:rPr>
              <w:t>Inköp av varor – Vård och tandvårdsrelaterade tjänster</w:t>
            </w:r>
            <w:r w:rsidR="00301573">
              <w:rPr>
                <w:noProof/>
                <w:webHidden/>
              </w:rPr>
              <w:tab/>
            </w:r>
            <w:r w:rsidR="00301573">
              <w:rPr>
                <w:noProof/>
                <w:webHidden/>
              </w:rPr>
              <w:fldChar w:fldCharType="begin"/>
            </w:r>
            <w:r w:rsidR="00301573">
              <w:rPr>
                <w:noProof/>
                <w:webHidden/>
              </w:rPr>
              <w:instrText xml:space="preserve"> PAGEREF _Toc152920056 \h </w:instrText>
            </w:r>
            <w:r w:rsidR="00301573">
              <w:rPr>
                <w:noProof/>
                <w:webHidden/>
              </w:rPr>
            </w:r>
            <w:r w:rsidR="00301573">
              <w:rPr>
                <w:noProof/>
                <w:webHidden/>
              </w:rPr>
              <w:fldChar w:fldCharType="separate"/>
            </w:r>
            <w:r w:rsidR="00301573">
              <w:rPr>
                <w:noProof/>
                <w:webHidden/>
              </w:rPr>
              <w:t>31</w:t>
            </w:r>
            <w:r w:rsidR="00301573">
              <w:rPr>
                <w:noProof/>
                <w:webHidden/>
              </w:rPr>
              <w:fldChar w:fldCharType="end"/>
            </w:r>
          </w:hyperlink>
        </w:p>
        <w:p w14:paraId="110ED99A" w14:textId="01F00E77"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7" w:history="1">
            <w:r w:rsidR="00301573" w:rsidRPr="00266AF9">
              <w:rPr>
                <w:rStyle w:val="Hyperlnk"/>
                <w:noProof/>
              </w:rPr>
              <w:t>Inköp av varor - Förbrukningsartiklar</w:t>
            </w:r>
            <w:r w:rsidR="00301573">
              <w:rPr>
                <w:noProof/>
                <w:webHidden/>
              </w:rPr>
              <w:tab/>
            </w:r>
            <w:r w:rsidR="00301573">
              <w:rPr>
                <w:noProof/>
                <w:webHidden/>
              </w:rPr>
              <w:fldChar w:fldCharType="begin"/>
            </w:r>
            <w:r w:rsidR="00301573">
              <w:rPr>
                <w:noProof/>
                <w:webHidden/>
              </w:rPr>
              <w:instrText xml:space="preserve"> PAGEREF _Toc152920057 \h </w:instrText>
            </w:r>
            <w:r w:rsidR="00301573">
              <w:rPr>
                <w:noProof/>
                <w:webHidden/>
              </w:rPr>
            </w:r>
            <w:r w:rsidR="00301573">
              <w:rPr>
                <w:noProof/>
                <w:webHidden/>
              </w:rPr>
              <w:fldChar w:fldCharType="separate"/>
            </w:r>
            <w:r w:rsidR="00301573">
              <w:rPr>
                <w:noProof/>
                <w:webHidden/>
              </w:rPr>
              <w:t>31</w:t>
            </w:r>
            <w:r w:rsidR="00301573">
              <w:rPr>
                <w:noProof/>
                <w:webHidden/>
              </w:rPr>
              <w:fldChar w:fldCharType="end"/>
            </w:r>
          </w:hyperlink>
        </w:p>
        <w:p w14:paraId="01BE9BD3" w14:textId="56D03AA7"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8" w:history="1">
            <w:r w:rsidR="00301573" w:rsidRPr="00266AF9">
              <w:rPr>
                <w:rStyle w:val="Hyperlnk"/>
                <w:noProof/>
              </w:rPr>
              <w:t>Inköp av varor och tjänster – egna kategorier</w:t>
            </w:r>
            <w:r w:rsidR="00301573">
              <w:rPr>
                <w:noProof/>
                <w:webHidden/>
              </w:rPr>
              <w:tab/>
            </w:r>
            <w:r w:rsidR="00301573">
              <w:rPr>
                <w:noProof/>
                <w:webHidden/>
              </w:rPr>
              <w:fldChar w:fldCharType="begin"/>
            </w:r>
            <w:r w:rsidR="00301573">
              <w:rPr>
                <w:noProof/>
                <w:webHidden/>
              </w:rPr>
              <w:instrText xml:space="preserve"> PAGEREF _Toc152920058 \h </w:instrText>
            </w:r>
            <w:r w:rsidR="00301573">
              <w:rPr>
                <w:noProof/>
                <w:webHidden/>
              </w:rPr>
            </w:r>
            <w:r w:rsidR="00301573">
              <w:rPr>
                <w:noProof/>
                <w:webHidden/>
              </w:rPr>
              <w:fldChar w:fldCharType="separate"/>
            </w:r>
            <w:r w:rsidR="00301573">
              <w:rPr>
                <w:noProof/>
                <w:webHidden/>
              </w:rPr>
              <w:t>31</w:t>
            </w:r>
            <w:r w:rsidR="00301573">
              <w:rPr>
                <w:noProof/>
                <w:webHidden/>
              </w:rPr>
              <w:fldChar w:fldCharType="end"/>
            </w:r>
          </w:hyperlink>
        </w:p>
        <w:p w14:paraId="086CADF2" w14:textId="2E50DD7E"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59" w:history="1">
            <w:r w:rsidR="00301573" w:rsidRPr="00266AF9">
              <w:rPr>
                <w:rStyle w:val="Hyperlnk"/>
                <w:noProof/>
              </w:rPr>
              <w:t>Avfall</w:t>
            </w:r>
            <w:r w:rsidR="00301573">
              <w:rPr>
                <w:noProof/>
                <w:webHidden/>
              </w:rPr>
              <w:tab/>
            </w:r>
            <w:r w:rsidR="00301573">
              <w:rPr>
                <w:noProof/>
                <w:webHidden/>
              </w:rPr>
              <w:fldChar w:fldCharType="begin"/>
            </w:r>
            <w:r w:rsidR="00301573">
              <w:rPr>
                <w:noProof/>
                <w:webHidden/>
              </w:rPr>
              <w:instrText xml:space="preserve"> PAGEREF _Toc152920059 \h </w:instrText>
            </w:r>
            <w:r w:rsidR="00301573">
              <w:rPr>
                <w:noProof/>
                <w:webHidden/>
              </w:rPr>
            </w:r>
            <w:r w:rsidR="00301573">
              <w:rPr>
                <w:noProof/>
                <w:webHidden/>
              </w:rPr>
              <w:fldChar w:fldCharType="separate"/>
            </w:r>
            <w:r w:rsidR="00301573">
              <w:rPr>
                <w:noProof/>
                <w:webHidden/>
              </w:rPr>
              <w:t>32</w:t>
            </w:r>
            <w:r w:rsidR="00301573">
              <w:rPr>
                <w:noProof/>
                <w:webHidden/>
              </w:rPr>
              <w:fldChar w:fldCharType="end"/>
            </w:r>
          </w:hyperlink>
        </w:p>
        <w:p w14:paraId="4C59CA8C" w14:textId="4C1EA0F9"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60" w:history="1">
            <w:r w:rsidR="00301573" w:rsidRPr="00266AF9">
              <w:rPr>
                <w:rStyle w:val="Hyperlnk"/>
                <w:noProof/>
              </w:rPr>
              <w:t>4. Naturbruk</w:t>
            </w:r>
            <w:r w:rsidR="00301573">
              <w:rPr>
                <w:noProof/>
                <w:webHidden/>
              </w:rPr>
              <w:tab/>
            </w:r>
            <w:r w:rsidR="00301573">
              <w:rPr>
                <w:noProof/>
                <w:webHidden/>
              </w:rPr>
              <w:fldChar w:fldCharType="begin"/>
            </w:r>
            <w:r w:rsidR="00301573">
              <w:rPr>
                <w:noProof/>
                <w:webHidden/>
              </w:rPr>
              <w:instrText xml:space="preserve"> PAGEREF _Toc152920060 \h </w:instrText>
            </w:r>
            <w:r w:rsidR="00301573">
              <w:rPr>
                <w:noProof/>
                <w:webHidden/>
              </w:rPr>
            </w:r>
            <w:r w:rsidR="00301573">
              <w:rPr>
                <w:noProof/>
                <w:webHidden/>
              </w:rPr>
              <w:fldChar w:fldCharType="separate"/>
            </w:r>
            <w:r w:rsidR="00301573">
              <w:rPr>
                <w:noProof/>
                <w:webHidden/>
              </w:rPr>
              <w:t>33</w:t>
            </w:r>
            <w:r w:rsidR="00301573">
              <w:rPr>
                <w:noProof/>
                <w:webHidden/>
              </w:rPr>
              <w:fldChar w:fldCharType="end"/>
            </w:r>
          </w:hyperlink>
        </w:p>
        <w:p w14:paraId="2BBC3F15" w14:textId="52611B99"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61" w:history="1">
            <w:r w:rsidR="00301573" w:rsidRPr="00266AF9">
              <w:rPr>
                <w:rStyle w:val="Hyperlnk"/>
                <w:noProof/>
              </w:rPr>
              <w:t>5. Hel- eller delägda bolag utanför kärnverksamheten</w:t>
            </w:r>
            <w:r w:rsidR="00301573">
              <w:rPr>
                <w:noProof/>
                <w:webHidden/>
              </w:rPr>
              <w:tab/>
            </w:r>
            <w:r w:rsidR="00301573">
              <w:rPr>
                <w:noProof/>
                <w:webHidden/>
              </w:rPr>
              <w:fldChar w:fldCharType="begin"/>
            </w:r>
            <w:r w:rsidR="00301573">
              <w:rPr>
                <w:noProof/>
                <w:webHidden/>
              </w:rPr>
              <w:instrText xml:space="preserve"> PAGEREF _Toc152920061 \h </w:instrText>
            </w:r>
            <w:r w:rsidR="00301573">
              <w:rPr>
                <w:noProof/>
                <w:webHidden/>
              </w:rPr>
            </w:r>
            <w:r w:rsidR="00301573">
              <w:rPr>
                <w:noProof/>
                <w:webHidden/>
              </w:rPr>
              <w:fldChar w:fldCharType="separate"/>
            </w:r>
            <w:r w:rsidR="00301573">
              <w:rPr>
                <w:noProof/>
                <w:webHidden/>
              </w:rPr>
              <w:t>35</w:t>
            </w:r>
            <w:r w:rsidR="00301573">
              <w:rPr>
                <w:noProof/>
                <w:webHidden/>
              </w:rPr>
              <w:fldChar w:fldCharType="end"/>
            </w:r>
          </w:hyperlink>
        </w:p>
        <w:p w14:paraId="6FCCD833" w14:textId="346D1003"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62" w:history="1">
            <w:r w:rsidR="00301573" w:rsidRPr="00266AF9">
              <w:rPr>
                <w:rStyle w:val="Hyperlnk"/>
                <w:noProof/>
              </w:rPr>
              <w:t>6. Kapitalplaceringar</w:t>
            </w:r>
            <w:r w:rsidR="00301573">
              <w:rPr>
                <w:noProof/>
                <w:webHidden/>
              </w:rPr>
              <w:tab/>
            </w:r>
            <w:r w:rsidR="00301573">
              <w:rPr>
                <w:noProof/>
                <w:webHidden/>
              </w:rPr>
              <w:fldChar w:fldCharType="begin"/>
            </w:r>
            <w:r w:rsidR="00301573">
              <w:rPr>
                <w:noProof/>
                <w:webHidden/>
              </w:rPr>
              <w:instrText xml:space="preserve"> PAGEREF _Toc152920062 \h </w:instrText>
            </w:r>
            <w:r w:rsidR="00301573">
              <w:rPr>
                <w:noProof/>
                <w:webHidden/>
              </w:rPr>
            </w:r>
            <w:r w:rsidR="00301573">
              <w:rPr>
                <w:noProof/>
                <w:webHidden/>
              </w:rPr>
              <w:fldChar w:fldCharType="separate"/>
            </w:r>
            <w:r w:rsidR="00301573">
              <w:rPr>
                <w:noProof/>
                <w:webHidden/>
              </w:rPr>
              <w:t>36</w:t>
            </w:r>
            <w:r w:rsidR="00301573">
              <w:rPr>
                <w:noProof/>
                <w:webHidden/>
              </w:rPr>
              <w:fldChar w:fldCharType="end"/>
            </w:r>
          </w:hyperlink>
        </w:p>
        <w:p w14:paraId="208F18FC" w14:textId="457F614A"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63" w:history="1">
            <w:r w:rsidR="00301573" w:rsidRPr="00266AF9">
              <w:rPr>
                <w:rStyle w:val="Hyperlnk"/>
                <w:noProof/>
              </w:rPr>
              <w:t>7. Övrigt – förskrivna läkemedel</w:t>
            </w:r>
            <w:r w:rsidR="00301573">
              <w:rPr>
                <w:noProof/>
                <w:webHidden/>
              </w:rPr>
              <w:tab/>
            </w:r>
            <w:r w:rsidR="00301573">
              <w:rPr>
                <w:noProof/>
                <w:webHidden/>
              </w:rPr>
              <w:fldChar w:fldCharType="begin"/>
            </w:r>
            <w:r w:rsidR="00301573">
              <w:rPr>
                <w:noProof/>
                <w:webHidden/>
              </w:rPr>
              <w:instrText xml:space="preserve"> PAGEREF _Toc152920063 \h </w:instrText>
            </w:r>
            <w:r w:rsidR="00301573">
              <w:rPr>
                <w:noProof/>
                <w:webHidden/>
              </w:rPr>
            </w:r>
            <w:r w:rsidR="00301573">
              <w:rPr>
                <w:noProof/>
                <w:webHidden/>
              </w:rPr>
              <w:fldChar w:fldCharType="separate"/>
            </w:r>
            <w:r w:rsidR="00301573">
              <w:rPr>
                <w:noProof/>
                <w:webHidden/>
              </w:rPr>
              <w:t>37</w:t>
            </w:r>
            <w:r w:rsidR="00301573">
              <w:rPr>
                <w:noProof/>
                <w:webHidden/>
              </w:rPr>
              <w:fldChar w:fldCharType="end"/>
            </w:r>
          </w:hyperlink>
        </w:p>
        <w:p w14:paraId="2CBE4A26" w14:textId="2026F0D3" w:rsidR="00301573" w:rsidRDefault="00787962">
          <w:pPr>
            <w:pStyle w:val="Innehll3"/>
            <w:rPr>
              <w:rFonts w:asciiTheme="minorHAnsi" w:eastAsiaTheme="minorEastAsia" w:hAnsiTheme="minorHAnsi"/>
              <w:noProof/>
              <w:spacing w:val="0"/>
              <w:kern w:val="2"/>
              <w:sz w:val="22"/>
              <w:szCs w:val="22"/>
              <w:lang/>
              <w14:ligatures w14:val="standardContextual"/>
            </w:rPr>
          </w:pPr>
          <w:hyperlink w:anchor="_Toc152920064" w:history="1">
            <w:r w:rsidR="00301573" w:rsidRPr="00266AF9">
              <w:rPr>
                <w:rStyle w:val="Hyperlnk"/>
                <w:noProof/>
              </w:rPr>
              <w:t>Förskrivna läkemedel</w:t>
            </w:r>
            <w:r w:rsidR="00301573">
              <w:rPr>
                <w:noProof/>
                <w:webHidden/>
              </w:rPr>
              <w:tab/>
            </w:r>
            <w:r w:rsidR="00301573">
              <w:rPr>
                <w:noProof/>
                <w:webHidden/>
              </w:rPr>
              <w:fldChar w:fldCharType="begin"/>
            </w:r>
            <w:r w:rsidR="00301573">
              <w:rPr>
                <w:noProof/>
                <w:webHidden/>
              </w:rPr>
              <w:instrText xml:space="preserve"> PAGEREF _Toc152920064 \h </w:instrText>
            </w:r>
            <w:r w:rsidR="00301573">
              <w:rPr>
                <w:noProof/>
                <w:webHidden/>
              </w:rPr>
            </w:r>
            <w:r w:rsidR="00301573">
              <w:rPr>
                <w:noProof/>
                <w:webHidden/>
              </w:rPr>
              <w:fldChar w:fldCharType="separate"/>
            </w:r>
            <w:r w:rsidR="00301573">
              <w:rPr>
                <w:noProof/>
                <w:webHidden/>
              </w:rPr>
              <w:t>37</w:t>
            </w:r>
            <w:r w:rsidR="00301573">
              <w:rPr>
                <w:noProof/>
                <w:webHidden/>
              </w:rPr>
              <w:fldChar w:fldCharType="end"/>
            </w:r>
          </w:hyperlink>
        </w:p>
        <w:p w14:paraId="1B2F5C0A" w14:textId="517F2611" w:rsidR="00301573" w:rsidRDefault="00787962">
          <w:pPr>
            <w:pStyle w:val="Innehll1"/>
            <w:rPr>
              <w:rFonts w:asciiTheme="minorHAnsi" w:eastAsiaTheme="minorEastAsia" w:hAnsiTheme="minorHAnsi"/>
              <w:noProof/>
              <w:spacing w:val="0"/>
              <w:kern w:val="2"/>
              <w:sz w:val="22"/>
              <w:szCs w:val="22"/>
              <w:lang/>
              <w14:ligatures w14:val="standardContextual"/>
            </w:rPr>
          </w:pPr>
          <w:hyperlink w:anchor="_Toc152920065" w:history="1">
            <w:r w:rsidR="00301573" w:rsidRPr="00266AF9">
              <w:rPr>
                <w:rStyle w:val="Hyperlnk"/>
                <w:noProof/>
              </w:rPr>
              <w:t>Tilläggsfiler för ytterligare analys</w:t>
            </w:r>
            <w:r w:rsidR="00301573">
              <w:rPr>
                <w:noProof/>
                <w:webHidden/>
              </w:rPr>
              <w:tab/>
            </w:r>
            <w:r w:rsidR="00301573">
              <w:rPr>
                <w:noProof/>
                <w:webHidden/>
              </w:rPr>
              <w:fldChar w:fldCharType="begin"/>
            </w:r>
            <w:r w:rsidR="00301573">
              <w:rPr>
                <w:noProof/>
                <w:webHidden/>
              </w:rPr>
              <w:instrText xml:space="preserve"> PAGEREF _Toc152920065 \h </w:instrText>
            </w:r>
            <w:r w:rsidR="00301573">
              <w:rPr>
                <w:noProof/>
                <w:webHidden/>
              </w:rPr>
            </w:r>
            <w:r w:rsidR="00301573">
              <w:rPr>
                <w:noProof/>
                <w:webHidden/>
              </w:rPr>
              <w:fldChar w:fldCharType="separate"/>
            </w:r>
            <w:r w:rsidR="00301573">
              <w:rPr>
                <w:noProof/>
                <w:webHidden/>
              </w:rPr>
              <w:t>38</w:t>
            </w:r>
            <w:r w:rsidR="00301573">
              <w:rPr>
                <w:noProof/>
                <w:webHidden/>
              </w:rPr>
              <w:fldChar w:fldCharType="end"/>
            </w:r>
          </w:hyperlink>
        </w:p>
        <w:p w14:paraId="02EAA302" w14:textId="59848C60"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66" w:history="1">
            <w:r w:rsidR="00301573" w:rsidRPr="00266AF9">
              <w:rPr>
                <w:rStyle w:val="Hyperlnk"/>
                <w:noProof/>
              </w:rPr>
              <w:t>Utökat spendverktyg</w:t>
            </w:r>
            <w:r w:rsidR="00301573">
              <w:rPr>
                <w:noProof/>
                <w:webHidden/>
              </w:rPr>
              <w:tab/>
            </w:r>
            <w:r w:rsidR="00301573">
              <w:rPr>
                <w:noProof/>
                <w:webHidden/>
              </w:rPr>
              <w:fldChar w:fldCharType="begin"/>
            </w:r>
            <w:r w:rsidR="00301573">
              <w:rPr>
                <w:noProof/>
                <w:webHidden/>
              </w:rPr>
              <w:instrText xml:space="preserve"> PAGEREF _Toc152920066 \h </w:instrText>
            </w:r>
            <w:r w:rsidR="00301573">
              <w:rPr>
                <w:noProof/>
                <w:webHidden/>
              </w:rPr>
            </w:r>
            <w:r w:rsidR="00301573">
              <w:rPr>
                <w:noProof/>
                <w:webHidden/>
              </w:rPr>
              <w:fldChar w:fldCharType="separate"/>
            </w:r>
            <w:r w:rsidR="00301573">
              <w:rPr>
                <w:noProof/>
                <w:webHidden/>
              </w:rPr>
              <w:t>38</w:t>
            </w:r>
            <w:r w:rsidR="00301573">
              <w:rPr>
                <w:noProof/>
                <w:webHidden/>
              </w:rPr>
              <w:fldChar w:fldCharType="end"/>
            </w:r>
          </w:hyperlink>
        </w:p>
        <w:p w14:paraId="7E7C401E" w14:textId="5488F84E" w:rsidR="00301573" w:rsidRDefault="00787962">
          <w:pPr>
            <w:pStyle w:val="Innehll2"/>
            <w:rPr>
              <w:rFonts w:asciiTheme="minorHAnsi" w:eastAsiaTheme="minorEastAsia" w:hAnsiTheme="minorHAnsi"/>
              <w:noProof/>
              <w:spacing w:val="0"/>
              <w:kern w:val="2"/>
              <w:sz w:val="22"/>
              <w:szCs w:val="22"/>
              <w:lang/>
              <w14:ligatures w14:val="standardContextual"/>
            </w:rPr>
          </w:pPr>
          <w:hyperlink w:anchor="_Toc152920067" w:history="1">
            <w:r w:rsidR="00301573" w:rsidRPr="00266AF9">
              <w:rPr>
                <w:rStyle w:val="Hyperlnk"/>
                <w:noProof/>
              </w:rPr>
              <w:t>Verktyg för ombyggnation</w:t>
            </w:r>
            <w:r w:rsidR="00301573">
              <w:rPr>
                <w:noProof/>
                <w:webHidden/>
              </w:rPr>
              <w:tab/>
            </w:r>
            <w:r w:rsidR="00301573">
              <w:rPr>
                <w:noProof/>
                <w:webHidden/>
              </w:rPr>
              <w:fldChar w:fldCharType="begin"/>
            </w:r>
            <w:r w:rsidR="00301573">
              <w:rPr>
                <w:noProof/>
                <w:webHidden/>
              </w:rPr>
              <w:instrText xml:space="preserve"> PAGEREF _Toc152920067 \h </w:instrText>
            </w:r>
            <w:r w:rsidR="00301573">
              <w:rPr>
                <w:noProof/>
                <w:webHidden/>
              </w:rPr>
            </w:r>
            <w:r w:rsidR="00301573">
              <w:rPr>
                <w:noProof/>
                <w:webHidden/>
              </w:rPr>
              <w:fldChar w:fldCharType="separate"/>
            </w:r>
            <w:r w:rsidR="00301573">
              <w:rPr>
                <w:noProof/>
                <w:webHidden/>
              </w:rPr>
              <w:t>39</w:t>
            </w:r>
            <w:r w:rsidR="00301573">
              <w:rPr>
                <w:noProof/>
                <w:webHidden/>
              </w:rPr>
              <w:fldChar w:fldCharType="end"/>
            </w:r>
          </w:hyperlink>
        </w:p>
        <w:p w14:paraId="7FB4A82C" w14:textId="3D4851E8" w:rsidR="00301573" w:rsidRDefault="00787962">
          <w:pPr>
            <w:pStyle w:val="Innehll1"/>
            <w:rPr>
              <w:rFonts w:asciiTheme="minorHAnsi" w:eastAsiaTheme="minorEastAsia" w:hAnsiTheme="minorHAnsi"/>
              <w:noProof/>
              <w:spacing w:val="0"/>
              <w:kern w:val="2"/>
              <w:sz w:val="22"/>
              <w:szCs w:val="22"/>
              <w:lang/>
              <w14:ligatures w14:val="standardContextual"/>
            </w:rPr>
          </w:pPr>
          <w:hyperlink w:anchor="_Toc152920068" w:history="1">
            <w:r w:rsidR="00301573" w:rsidRPr="00266AF9">
              <w:rPr>
                <w:rStyle w:val="Hyperlnk"/>
                <w:noProof/>
              </w:rPr>
              <w:t>Förklaringar</w:t>
            </w:r>
            <w:r w:rsidR="00301573">
              <w:rPr>
                <w:noProof/>
                <w:webHidden/>
              </w:rPr>
              <w:tab/>
            </w:r>
            <w:r w:rsidR="00301573">
              <w:rPr>
                <w:noProof/>
                <w:webHidden/>
              </w:rPr>
              <w:fldChar w:fldCharType="begin"/>
            </w:r>
            <w:r w:rsidR="00301573">
              <w:rPr>
                <w:noProof/>
                <w:webHidden/>
              </w:rPr>
              <w:instrText xml:space="preserve"> PAGEREF _Toc152920068 \h </w:instrText>
            </w:r>
            <w:r w:rsidR="00301573">
              <w:rPr>
                <w:noProof/>
                <w:webHidden/>
              </w:rPr>
            </w:r>
            <w:r w:rsidR="00301573">
              <w:rPr>
                <w:noProof/>
                <w:webHidden/>
              </w:rPr>
              <w:fldChar w:fldCharType="separate"/>
            </w:r>
            <w:r w:rsidR="00301573">
              <w:rPr>
                <w:noProof/>
                <w:webHidden/>
              </w:rPr>
              <w:t>40</w:t>
            </w:r>
            <w:r w:rsidR="00301573">
              <w:rPr>
                <w:noProof/>
                <w:webHidden/>
              </w:rPr>
              <w:fldChar w:fldCharType="end"/>
            </w:r>
          </w:hyperlink>
        </w:p>
        <w:p w14:paraId="41AAA8D9" w14:textId="50A498B1" w:rsidR="001E6E8B" w:rsidRPr="00573C84" w:rsidRDefault="008502CF" w:rsidP="00573C84">
          <w:r>
            <w:rPr>
              <w:b/>
              <w:bCs/>
            </w:rPr>
            <w:fldChar w:fldCharType="end"/>
          </w:r>
        </w:p>
      </w:sdtContent>
    </w:sdt>
    <w:p w14:paraId="191D82DF" w14:textId="77777777" w:rsidR="001E6E8B" w:rsidRDefault="001E6E8B">
      <w:pPr>
        <w:spacing w:line="259" w:lineRule="auto"/>
        <w:rPr>
          <w:rFonts w:ascii="Museo Sans Rounded 900" w:eastAsiaTheme="majorEastAsia" w:hAnsi="Museo Sans Rounded 900" w:cstheme="majorBidi"/>
          <w:spacing w:val="10"/>
          <w:kern w:val="28"/>
          <w:sz w:val="22"/>
          <w:szCs w:val="22"/>
        </w:rPr>
      </w:pPr>
    </w:p>
    <w:p w14:paraId="51880FF2" w14:textId="77777777" w:rsidR="001E6E8B" w:rsidRDefault="001E6E8B">
      <w:pPr>
        <w:spacing w:line="259" w:lineRule="auto"/>
        <w:rPr>
          <w:rFonts w:ascii="Museo Sans Rounded 900" w:eastAsiaTheme="majorEastAsia" w:hAnsi="Museo Sans Rounded 900" w:cstheme="majorBidi"/>
          <w:spacing w:val="10"/>
          <w:kern w:val="28"/>
          <w:sz w:val="22"/>
          <w:szCs w:val="22"/>
        </w:rPr>
      </w:pPr>
    </w:p>
    <w:p w14:paraId="6E474D02" w14:textId="77777777" w:rsidR="001E6E8B" w:rsidRDefault="001E6E8B">
      <w:pPr>
        <w:spacing w:line="259" w:lineRule="auto"/>
        <w:rPr>
          <w:rFonts w:ascii="Museo Sans Rounded 900" w:eastAsiaTheme="majorEastAsia" w:hAnsi="Museo Sans Rounded 900" w:cstheme="majorBidi"/>
          <w:spacing w:val="10"/>
          <w:kern w:val="28"/>
          <w:sz w:val="22"/>
          <w:szCs w:val="22"/>
        </w:rPr>
      </w:pPr>
    </w:p>
    <w:p w14:paraId="115BB8AA" w14:textId="77777777" w:rsidR="001E6E8B" w:rsidRDefault="001E6E8B">
      <w:pPr>
        <w:spacing w:line="259" w:lineRule="auto"/>
        <w:rPr>
          <w:rFonts w:ascii="Museo Sans Rounded 900" w:eastAsiaTheme="majorEastAsia" w:hAnsi="Museo Sans Rounded 900" w:cstheme="majorBidi"/>
          <w:spacing w:val="10"/>
          <w:kern w:val="28"/>
          <w:sz w:val="22"/>
          <w:szCs w:val="22"/>
        </w:rPr>
      </w:pPr>
    </w:p>
    <w:p w14:paraId="713A4FF2" w14:textId="6FD44F23" w:rsidR="00573C84" w:rsidRDefault="00573C84">
      <w:pPr>
        <w:spacing w:line="259" w:lineRule="auto"/>
        <w:rPr>
          <w:rFonts w:ascii="Museo Sans Rounded 900" w:eastAsiaTheme="majorEastAsia" w:hAnsi="Museo Sans Rounded 900" w:cstheme="majorBidi"/>
          <w:spacing w:val="10"/>
          <w:kern w:val="28"/>
          <w:sz w:val="22"/>
          <w:szCs w:val="22"/>
        </w:rPr>
      </w:pPr>
      <w:r>
        <w:rPr>
          <w:rFonts w:ascii="Museo Sans Rounded 900" w:eastAsiaTheme="majorEastAsia" w:hAnsi="Museo Sans Rounded 900" w:cstheme="majorBidi"/>
          <w:spacing w:val="10"/>
          <w:kern w:val="28"/>
          <w:sz w:val="22"/>
          <w:szCs w:val="22"/>
        </w:rPr>
        <w:br w:type="page"/>
      </w:r>
    </w:p>
    <w:p w14:paraId="0F2A8C43" w14:textId="77777777" w:rsidR="005A7E7F" w:rsidRPr="00116F6B" w:rsidRDefault="005A7E7F">
      <w:pPr>
        <w:spacing w:line="259" w:lineRule="auto"/>
        <w:rPr>
          <w:rFonts w:ascii="Museo Sans Rounded 900" w:eastAsiaTheme="majorEastAsia" w:hAnsi="Museo Sans Rounded 900" w:cstheme="majorBidi"/>
          <w:spacing w:val="10"/>
          <w:kern w:val="28"/>
          <w:sz w:val="22"/>
          <w:szCs w:val="22"/>
        </w:rPr>
      </w:pPr>
      <w:r w:rsidRPr="00116F6B">
        <w:rPr>
          <w:rFonts w:ascii="Museo Sans Rounded 900" w:eastAsiaTheme="majorEastAsia" w:hAnsi="Museo Sans Rounded 900" w:cstheme="majorBidi"/>
          <w:spacing w:val="10"/>
          <w:kern w:val="28"/>
          <w:sz w:val="22"/>
          <w:szCs w:val="22"/>
        </w:rPr>
        <w:t>Versionshantering</w:t>
      </w:r>
      <w:r w:rsidR="003E663F">
        <w:rPr>
          <w:rFonts w:ascii="Museo Sans Rounded 900" w:eastAsiaTheme="majorEastAsia" w:hAnsi="Museo Sans Rounded 900" w:cstheme="majorBidi"/>
          <w:spacing w:val="10"/>
          <w:kern w:val="28"/>
          <w:sz w:val="22"/>
          <w:szCs w:val="22"/>
        </w:rPr>
        <w:t xml:space="preserve"> </w:t>
      </w:r>
    </w:p>
    <w:tbl>
      <w:tblPr>
        <w:tblStyle w:val="Tabellrutnt"/>
        <w:tblW w:w="0" w:type="auto"/>
        <w:tblLook w:val="04A0" w:firstRow="1" w:lastRow="0" w:firstColumn="1" w:lastColumn="0" w:noHBand="0" w:noVBand="1"/>
      </w:tblPr>
      <w:tblGrid>
        <w:gridCol w:w="1395"/>
        <w:gridCol w:w="1558"/>
        <w:gridCol w:w="6109"/>
      </w:tblGrid>
      <w:tr w:rsidR="000D73EA" w14:paraId="5A4C5109" w14:textId="77777777" w:rsidTr="000D73EA">
        <w:trPr>
          <w:trHeight w:val="20"/>
        </w:trPr>
        <w:tc>
          <w:tcPr>
            <w:tcW w:w="1395" w:type="dxa"/>
          </w:tcPr>
          <w:p w14:paraId="5C38BEF8" w14:textId="2CE38067" w:rsidR="000D73EA" w:rsidRDefault="000D73EA">
            <w:pPr>
              <w:spacing w:line="259" w:lineRule="auto"/>
              <w:rPr>
                <w:rFonts w:ascii="Museo Sans Rounded 900" w:eastAsiaTheme="majorEastAsia" w:hAnsi="Museo Sans Rounded 900" w:cstheme="majorBidi"/>
                <w:spacing w:val="10"/>
                <w:kern w:val="28"/>
              </w:rPr>
            </w:pPr>
            <w:r>
              <w:rPr>
                <w:rFonts w:ascii="Museo Sans Rounded 900" w:eastAsiaTheme="majorEastAsia" w:hAnsi="Museo Sans Rounded 900" w:cstheme="majorBidi"/>
                <w:spacing w:val="10"/>
                <w:kern w:val="28"/>
              </w:rPr>
              <w:t>Version</w:t>
            </w:r>
          </w:p>
        </w:tc>
        <w:tc>
          <w:tcPr>
            <w:tcW w:w="1558" w:type="dxa"/>
          </w:tcPr>
          <w:p w14:paraId="6E53A786" w14:textId="1D6C3BA4" w:rsidR="000D73EA" w:rsidRDefault="000D73EA">
            <w:pPr>
              <w:spacing w:line="259" w:lineRule="auto"/>
              <w:rPr>
                <w:rFonts w:ascii="Museo Sans Rounded 900" w:eastAsiaTheme="majorEastAsia" w:hAnsi="Museo Sans Rounded 900" w:cstheme="majorBidi"/>
                <w:spacing w:val="10"/>
                <w:kern w:val="28"/>
              </w:rPr>
            </w:pPr>
            <w:r>
              <w:rPr>
                <w:rFonts w:ascii="Museo Sans Rounded 900" w:eastAsiaTheme="majorEastAsia" w:hAnsi="Museo Sans Rounded 900" w:cstheme="majorBidi"/>
                <w:spacing w:val="10"/>
                <w:kern w:val="28"/>
              </w:rPr>
              <w:t>Datum</w:t>
            </w:r>
          </w:p>
        </w:tc>
        <w:tc>
          <w:tcPr>
            <w:tcW w:w="6109" w:type="dxa"/>
          </w:tcPr>
          <w:p w14:paraId="1A4EC0EF" w14:textId="77777777" w:rsidR="000D73EA" w:rsidRDefault="000D73EA">
            <w:pPr>
              <w:spacing w:line="259" w:lineRule="auto"/>
              <w:rPr>
                <w:rFonts w:ascii="Museo Sans Rounded 900" w:eastAsiaTheme="majorEastAsia" w:hAnsi="Museo Sans Rounded 900" w:cstheme="majorBidi"/>
                <w:spacing w:val="10"/>
                <w:kern w:val="28"/>
              </w:rPr>
            </w:pPr>
            <w:r>
              <w:rPr>
                <w:rFonts w:ascii="Museo Sans Rounded 900" w:eastAsiaTheme="majorEastAsia" w:hAnsi="Museo Sans Rounded 900" w:cstheme="majorBidi"/>
                <w:spacing w:val="10"/>
                <w:kern w:val="28"/>
              </w:rPr>
              <w:t>Kommentar</w:t>
            </w:r>
          </w:p>
        </w:tc>
      </w:tr>
      <w:tr w:rsidR="000D73EA" w14:paraId="472AFB93" w14:textId="77777777" w:rsidTr="000D73EA">
        <w:trPr>
          <w:trHeight w:val="20"/>
        </w:trPr>
        <w:tc>
          <w:tcPr>
            <w:tcW w:w="1395" w:type="dxa"/>
          </w:tcPr>
          <w:p w14:paraId="6964AF1C" w14:textId="77FD17C0" w:rsidR="000D73EA" w:rsidRDefault="000D73EA">
            <w:pPr>
              <w:spacing w:line="259" w:lineRule="auto"/>
              <w:rPr>
                <w:rFonts w:ascii="Museo Sans Rounded 900" w:eastAsiaTheme="majorEastAsia" w:hAnsi="Museo Sans Rounded 900" w:cstheme="majorBidi"/>
                <w:spacing w:val="10"/>
                <w:kern w:val="28"/>
              </w:rPr>
            </w:pPr>
            <w:r>
              <w:rPr>
                <w:rFonts w:ascii="Museo Sans Rounded 900" w:eastAsiaTheme="majorEastAsia" w:hAnsi="Museo Sans Rounded 900" w:cstheme="majorBidi"/>
                <w:spacing w:val="10"/>
                <w:kern w:val="28"/>
              </w:rPr>
              <w:t>1</w:t>
            </w:r>
            <w:r w:rsidR="002E7151">
              <w:rPr>
                <w:rFonts w:ascii="Museo Sans Rounded 900" w:eastAsiaTheme="majorEastAsia" w:hAnsi="Museo Sans Rounded 900" w:cstheme="majorBidi"/>
                <w:spacing w:val="10"/>
                <w:kern w:val="28"/>
              </w:rPr>
              <w:t>.1</w:t>
            </w:r>
          </w:p>
        </w:tc>
        <w:tc>
          <w:tcPr>
            <w:tcW w:w="1558" w:type="dxa"/>
          </w:tcPr>
          <w:p w14:paraId="3CCDB9A9" w14:textId="2F870201" w:rsidR="000D73EA" w:rsidRDefault="000D73EA">
            <w:pPr>
              <w:spacing w:line="259" w:lineRule="auto"/>
              <w:rPr>
                <w:rFonts w:ascii="Museo Sans Rounded 900" w:eastAsiaTheme="majorEastAsia" w:hAnsi="Museo Sans Rounded 900" w:cstheme="majorBidi"/>
                <w:spacing w:val="10"/>
                <w:kern w:val="28"/>
              </w:rPr>
            </w:pPr>
            <w:r>
              <w:rPr>
                <w:rFonts w:ascii="Museo Sans Rounded 900" w:eastAsiaTheme="majorEastAsia" w:hAnsi="Museo Sans Rounded 900" w:cstheme="majorBidi"/>
                <w:spacing w:val="10"/>
                <w:kern w:val="28"/>
              </w:rPr>
              <w:t>2022-02-18</w:t>
            </w:r>
          </w:p>
        </w:tc>
        <w:tc>
          <w:tcPr>
            <w:tcW w:w="6109" w:type="dxa"/>
          </w:tcPr>
          <w:p w14:paraId="3B5857BF" w14:textId="77777777" w:rsidR="000D73EA" w:rsidRPr="00A22A66" w:rsidRDefault="000D73EA">
            <w:pPr>
              <w:spacing w:line="259" w:lineRule="auto"/>
              <w:rPr>
                <w:rFonts w:ascii="Museo Sans Rounded 900" w:eastAsiaTheme="majorEastAsia" w:hAnsi="Museo Sans Rounded 900" w:cstheme="majorBidi"/>
                <w:spacing w:val="10"/>
                <w:kern w:val="28"/>
              </w:rPr>
            </w:pPr>
            <w:r>
              <w:rPr>
                <w:rFonts w:ascii="Museo Sans Rounded 900" w:eastAsiaTheme="majorEastAsia" w:hAnsi="Museo Sans Rounded 900" w:cstheme="majorBidi"/>
                <w:spacing w:val="10"/>
                <w:kern w:val="28"/>
              </w:rPr>
              <w:t>Elfaktor överförd till excelfil. Småkorr och buggfixar i excelfil från 2022-01-25,.</w:t>
            </w:r>
          </w:p>
        </w:tc>
      </w:tr>
      <w:tr w:rsidR="000D73EA" w14:paraId="088CDE07" w14:textId="77777777" w:rsidTr="000D73EA">
        <w:trPr>
          <w:trHeight w:val="20"/>
        </w:trPr>
        <w:tc>
          <w:tcPr>
            <w:tcW w:w="1395" w:type="dxa"/>
          </w:tcPr>
          <w:p w14:paraId="1DFEBC8B" w14:textId="4B04264B" w:rsidR="000D73EA" w:rsidRPr="00750138" w:rsidRDefault="002E7151">
            <w:pPr>
              <w:spacing w:line="259" w:lineRule="auto"/>
              <w:rPr>
                <w:rFonts w:eastAsiaTheme="majorEastAsia" w:cstheme="majorBidi"/>
                <w:spacing w:val="10"/>
                <w:kern w:val="28"/>
              </w:rPr>
            </w:pPr>
            <w:r>
              <w:rPr>
                <w:rFonts w:eastAsiaTheme="majorEastAsia" w:cstheme="majorBidi"/>
                <w:spacing w:val="10"/>
                <w:kern w:val="28"/>
              </w:rPr>
              <w:t>1.2</w:t>
            </w:r>
          </w:p>
        </w:tc>
        <w:tc>
          <w:tcPr>
            <w:tcW w:w="1558" w:type="dxa"/>
          </w:tcPr>
          <w:p w14:paraId="5702114A" w14:textId="175B209C" w:rsidR="000D73EA" w:rsidRDefault="000D73EA">
            <w:pPr>
              <w:spacing w:line="259" w:lineRule="auto"/>
              <w:rPr>
                <w:rFonts w:ascii="Museo Sans Rounded 900" w:eastAsiaTheme="majorEastAsia" w:hAnsi="Museo Sans Rounded 900" w:cstheme="majorBidi"/>
                <w:spacing w:val="10"/>
                <w:kern w:val="28"/>
              </w:rPr>
            </w:pPr>
            <w:r w:rsidRPr="00750138">
              <w:rPr>
                <w:rFonts w:eastAsiaTheme="majorEastAsia" w:cstheme="majorBidi"/>
                <w:spacing w:val="10"/>
                <w:kern w:val="28"/>
              </w:rPr>
              <w:t>2022-02-23</w:t>
            </w:r>
          </w:p>
        </w:tc>
        <w:tc>
          <w:tcPr>
            <w:tcW w:w="6109" w:type="dxa"/>
          </w:tcPr>
          <w:p w14:paraId="055E2A63" w14:textId="77777777" w:rsidR="000D73EA" w:rsidRDefault="000D73EA" w:rsidP="003E34F3">
            <w:pPr>
              <w:spacing w:line="259" w:lineRule="auto"/>
              <w:rPr>
                <w:rFonts w:ascii="Museo Sans Rounded 900" w:eastAsiaTheme="majorEastAsia" w:hAnsi="Museo Sans Rounded 900" w:cstheme="majorBidi"/>
                <w:spacing w:val="10"/>
                <w:kern w:val="28"/>
              </w:rPr>
            </w:pPr>
            <w:r>
              <w:rPr>
                <w:rFonts w:eastAsiaTheme="majorEastAsia" w:cstheme="majorBidi"/>
                <w:spacing w:val="10"/>
                <w:kern w:val="28"/>
              </w:rPr>
              <w:t>Komplettering kring</w:t>
            </w:r>
            <w:r>
              <w:t xml:space="preserve"> t.ex. definition på ombyggnation. </w:t>
            </w:r>
            <w:r>
              <w:rPr>
                <w:rFonts w:eastAsiaTheme="majorEastAsia" w:cstheme="majorBidi"/>
                <w:spacing w:val="10"/>
                <w:kern w:val="28"/>
              </w:rPr>
              <w:t>Justerad elfaktor i excelfil.</w:t>
            </w:r>
          </w:p>
        </w:tc>
      </w:tr>
      <w:tr w:rsidR="000D73EA" w14:paraId="60ADDCBC" w14:textId="77777777" w:rsidTr="000D73EA">
        <w:trPr>
          <w:trHeight w:val="20"/>
        </w:trPr>
        <w:tc>
          <w:tcPr>
            <w:tcW w:w="1395" w:type="dxa"/>
          </w:tcPr>
          <w:p w14:paraId="25DEE50D" w14:textId="505C8D6A" w:rsidR="000D73EA" w:rsidRDefault="002E7151" w:rsidP="00D55B97">
            <w:pPr>
              <w:spacing w:line="259" w:lineRule="auto"/>
              <w:rPr>
                <w:rFonts w:eastAsiaTheme="majorEastAsia" w:cstheme="majorBidi"/>
                <w:spacing w:val="10"/>
                <w:kern w:val="28"/>
              </w:rPr>
            </w:pPr>
            <w:r>
              <w:rPr>
                <w:rFonts w:eastAsiaTheme="majorEastAsia" w:cstheme="majorBidi"/>
                <w:spacing w:val="10"/>
                <w:kern w:val="28"/>
              </w:rPr>
              <w:t>2.1</w:t>
            </w:r>
          </w:p>
        </w:tc>
        <w:tc>
          <w:tcPr>
            <w:tcW w:w="1558" w:type="dxa"/>
          </w:tcPr>
          <w:p w14:paraId="1F2E5FA7" w14:textId="57F68774" w:rsidR="000D73EA" w:rsidRPr="00301573" w:rsidRDefault="000D73EA" w:rsidP="00D55B97">
            <w:pPr>
              <w:spacing w:line="259" w:lineRule="auto"/>
              <w:rPr>
                <w:rFonts w:eastAsiaTheme="majorEastAsia" w:cstheme="majorBidi"/>
                <w:spacing w:val="10"/>
                <w:kern w:val="28"/>
              </w:rPr>
            </w:pPr>
            <w:r w:rsidRPr="00301573">
              <w:rPr>
                <w:rFonts w:eastAsiaTheme="majorEastAsia" w:cstheme="majorBidi"/>
                <w:spacing w:val="10"/>
                <w:kern w:val="28"/>
              </w:rPr>
              <w:t>2022-12-06</w:t>
            </w:r>
            <w:r w:rsidR="004152A9" w:rsidRPr="00301573">
              <w:rPr>
                <w:rFonts w:eastAsiaTheme="majorEastAsia" w:cstheme="majorBidi"/>
                <w:spacing w:val="10"/>
                <w:kern w:val="28"/>
              </w:rPr>
              <w:t xml:space="preserve"> &amp;</w:t>
            </w:r>
            <w:r w:rsidR="004152A9" w:rsidRPr="00301573">
              <w:rPr>
                <w:rFonts w:eastAsiaTheme="majorEastAsia" w:cstheme="majorBidi"/>
                <w:spacing w:val="10"/>
                <w:kern w:val="28"/>
              </w:rPr>
              <w:br/>
              <w:t>2023-06-12</w:t>
            </w:r>
          </w:p>
        </w:tc>
        <w:tc>
          <w:tcPr>
            <w:tcW w:w="6109" w:type="dxa"/>
          </w:tcPr>
          <w:p w14:paraId="51184A7B" w14:textId="77777777" w:rsidR="000D73EA" w:rsidRPr="00301573" w:rsidRDefault="000D73EA" w:rsidP="00D55B97">
            <w:pPr>
              <w:spacing w:line="259" w:lineRule="auto"/>
              <w:rPr>
                <w:rFonts w:eastAsiaTheme="majorEastAsia" w:cstheme="majorBidi"/>
                <w:spacing w:val="10"/>
                <w:kern w:val="28"/>
              </w:rPr>
            </w:pPr>
            <w:r w:rsidRPr="00301573">
              <w:rPr>
                <w:rFonts w:eastAsiaTheme="majorEastAsia" w:cstheme="majorBidi"/>
                <w:spacing w:val="10"/>
                <w:kern w:val="28"/>
              </w:rPr>
              <w:t>Förtydligande kring el enligt market- och location-based method.</w:t>
            </w:r>
          </w:p>
          <w:p w14:paraId="2BEE2F18" w14:textId="77777777" w:rsidR="000D73EA" w:rsidRPr="00301573" w:rsidRDefault="000D73EA" w:rsidP="00D55B97">
            <w:pPr>
              <w:spacing w:line="259" w:lineRule="auto"/>
              <w:rPr>
                <w:rFonts w:eastAsiaTheme="majorEastAsia" w:cstheme="majorBidi"/>
                <w:spacing w:val="10"/>
                <w:kern w:val="28"/>
              </w:rPr>
            </w:pPr>
            <w:r w:rsidRPr="00301573">
              <w:rPr>
                <w:rFonts w:eastAsiaTheme="majorEastAsia" w:cstheme="majorBidi"/>
                <w:spacing w:val="10"/>
                <w:kern w:val="28"/>
              </w:rPr>
              <w:t xml:space="preserve">Revidering av avsnitt kring ny och ombyggnation/reparation. Förtydligande kring metodik och förslag på beräkning.  </w:t>
            </w:r>
          </w:p>
          <w:p w14:paraId="6B918076" w14:textId="0D38282B" w:rsidR="000D73EA" w:rsidRPr="00301573" w:rsidRDefault="000D73EA" w:rsidP="00D55B97">
            <w:pPr>
              <w:spacing w:line="259" w:lineRule="auto"/>
              <w:rPr>
                <w:rFonts w:eastAsiaTheme="majorEastAsia" w:cstheme="majorBidi"/>
                <w:spacing w:val="10"/>
                <w:kern w:val="28"/>
              </w:rPr>
            </w:pPr>
            <w:r w:rsidRPr="00301573">
              <w:rPr>
                <w:rFonts w:eastAsiaTheme="majorEastAsia" w:cstheme="majorBidi"/>
                <w:spacing w:val="10"/>
                <w:kern w:val="28"/>
              </w:rPr>
              <w:t xml:space="preserve">Förtydligande kring </w:t>
            </w:r>
            <w:r w:rsidR="004152A9" w:rsidRPr="00301573">
              <w:rPr>
                <w:rFonts w:eastAsiaTheme="majorEastAsia" w:cstheme="majorBidi"/>
                <w:spacing w:val="10"/>
                <w:kern w:val="28"/>
              </w:rPr>
              <w:t xml:space="preserve">el, </w:t>
            </w:r>
            <w:r w:rsidRPr="00301573">
              <w:rPr>
                <w:rFonts w:eastAsiaTheme="majorEastAsia" w:cstheme="majorBidi"/>
                <w:spacing w:val="10"/>
                <w:kern w:val="28"/>
              </w:rPr>
              <w:t>avfallstransporter sam</w:t>
            </w:r>
            <w:r w:rsidR="004152A9" w:rsidRPr="00301573">
              <w:rPr>
                <w:rFonts w:eastAsiaTheme="majorEastAsia" w:cstheme="majorBidi"/>
                <w:spacing w:val="10"/>
                <w:kern w:val="28"/>
              </w:rPr>
              <w:t>t</w:t>
            </w:r>
            <w:r w:rsidRPr="00301573">
              <w:rPr>
                <w:rFonts w:eastAsiaTheme="majorEastAsia" w:cstheme="majorBidi"/>
                <w:spacing w:val="10"/>
                <w:kern w:val="28"/>
              </w:rPr>
              <w:t xml:space="preserve"> Inköp av varor (livsmedel, läkemedel och förbrukningsartiklar).</w:t>
            </w:r>
          </w:p>
          <w:p w14:paraId="47FA196A" w14:textId="60FE9D00" w:rsidR="000D73EA" w:rsidRPr="00301573" w:rsidRDefault="004152A9" w:rsidP="00AA73E7">
            <w:pPr>
              <w:spacing w:line="259" w:lineRule="auto"/>
              <w:rPr>
                <w:rFonts w:eastAsiaTheme="majorEastAsia" w:cstheme="majorBidi"/>
                <w:spacing w:val="10"/>
                <w:kern w:val="28"/>
              </w:rPr>
            </w:pPr>
            <w:r w:rsidRPr="00301573">
              <w:rPr>
                <w:rFonts w:eastAsiaTheme="majorEastAsia" w:cstheme="majorBidi"/>
                <w:spacing w:val="10"/>
                <w:kern w:val="28"/>
              </w:rPr>
              <w:t>N</w:t>
            </w:r>
            <w:r w:rsidR="000D73EA" w:rsidRPr="00301573">
              <w:rPr>
                <w:rFonts w:eastAsiaTheme="majorEastAsia" w:cstheme="majorBidi"/>
                <w:spacing w:val="10"/>
                <w:kern w:val="28"/>
              </w:rPr>
              <w:t>y funktion</w:t>
            </w:r>
            <w:r w:rsidRPr="00301573">
              <w:rPr>
                <w:rFonts w:eastAsiaTheme="majorEastAsia" w:cstheme="majorBidi"/>
                <w:spacing w:val="10"/>
                <w:kern w:val="28"/>
              </w:rPr>
              <w:t xml:space="preserve"> m</w:t>
            </w:r>
            <w:r w:rsidR="000D73EA" w:rsidRPr="00301573">
              <w:rPr>
                <w:rFonts w:eastAsiaTheme="majorEastAsia" w:cstheme="majorBidi"/>
                <w:spacing w:val="10"/>
                <w:kern w:val="28"/>
              </w:rPr>
              <w:t xml:space="preserve">ed möjlighet till förvaltningsspecifik inmatning. </w:t>
            </w:r>
          </w:p>
        </w:tc>
      </w:tr>
      <w:tr w:rsidR="000D73EA" w14:paraId="486BDFBD" w14:textId="77777777" w:rsidTr="000D73EA">
        <w:trPr>
          <w:trHeight w:val="20"/>
        </w:trPr>
        <w:tc>
          <w:tcPr>
            <w:tcW w:w="1395" w:type="dxa"/>
          </w:tcPr>
          <w:p w14:paraId="1717898E" w14:textId="09A9FF77" w:rsidR="000D73EA" w:rsidRDefault="002E7151" w:rsidP="00D55B97">
            <w:pPr>
              <w:spacing w:line="259" w:lineRule="auto"/>
              <w:rPr>
                <w:rFonts w:eastAsiaTheme="majorEastAsia" w:cstheme="majorBidi"/>
                <w:spacing w:val="10"/>
                <w:kern w:val="28"/>
              </w:rPr>
            </w:pPr>
            <w:r>
              <w:rPr>
                <w:rFonts w:eastAsiaTheme="majorEastAsia" w:cstheme="majorBidi"/>
                <w:spacing w:val="10"/>
                <w:kern w:val="28"/>
              </w:rPr>
              <w:t>3</w:t>
            </w:r>
          </w:p>
        </w:tc>
        <w:tc>
          <w:tcPr>
            <w:tcW w:w="1558" w:type="dxa"/>
          </w:tcPr>
          <w:p w14:paraId="6669C357" w14:textId="694855FC" w:rsidR="000D73EA" w:rsidRDefault="000D73EA" w:rsidP="00D55B97">
            <w:pPr>
              <w:spacing w:line="259" w:lineRule="auto"/>
              <w:rPr>
                <w:rFonts w:eastAsiaTheme="majorEastAsia" w:cstheme="majorBidi"/>
                <w:spacing w:val="10"/>
                <w:kern w:val="28"/>
              </w:rPr>
            </w:pPr>
            <w:r>
              <w:rPr>
                <w:rFonts w:eastAsiaTheme="majorEastAsia" w:cstheme="majorBidi"/>
                <w:spacing w:val="10"/>
                <w:kern w:val="28"/>
              </w:rPr>
              <w:t>2023-12-05</w:t>
            </w:r>
          </w:p>
        </w:tc>
        <w:tc>
          <w:tcPr>
            <w:tcW w:w="6109" w:type="dxa"/>
          </w:tcPr>
          <w:p w14:paraId="64421E65" w14:textId="4C6BCB41" w:rsidR="000D73EA" w:rsidRDefault="000D73EA" w:rsidP="00091893">
            <w:pPr>
              <w:pStyle w:val="Liststycke"/>
              <w:numPr>
                <w:ilvl w:val="0"/>
                <w:numId w:val="29"/>
              </w:numPr>
              <w:spacing w:line="259" w:lineRule="auto"/>
              <w:rPr>
                <w:rFonts w:eastAsiaTheme="majorEastAsia" w:cstheme="majorBidi"/>
                <w:spacing w:val="10"/>
                <w:kern w:val="28"/>
              </w:rPr>
            </w:pPr>
            <w:r w:rsidRPr="00091893">
              <w:rPr>
                <w:rFonts w:eastAsiaTheme="majorEastAsia" w:cstheme="majorBidi"/>
                <w:spacing w:val="10"/>
                <w:kern w:val="28"/>
              </w:rPr>
              <w:t>Tillagda stycken</w:t>
            </w:r>
            <w:r w:rsidR="00984033">
              <w:rPr>
                <w:rFonts w:eastAsiaTheme="majorEastAsia" w:cstheme="majorBidi"/>
                <w:spacing w:val="10"/>
                <w:kern w:val="28"/>
              </w:rPr>
              <w:t xml:space="preserve"> och delar</w:t>
            </w:r>
            <w:r w:rsidRPr="00091893">
              <w:rPr>
                <w:rFonts w:eastAsiaTheme="majorEastAsia" w:cstheme="majorBidi"/>
                <w:spacing w:val="10"/>
                <w:kern w:val="28"/>
              </w:rPr>
              <w:t>:</w:t>
            </w:r>
          </w:p>
          <w:p w14:paraId="7ADEF303" w14:textId="38E98494" w:rsidR="000D73EA" w:rsidRPr="00DA3613" w:rsidRDefault="000D73EA" w:rsidP="00BE0124">
            <w:pPr>
              <w:pStyle w:val="Liststycke"/>
              <w:numPr>
                <w:ilvl w:val="1"/>
                <w:numId w:val="29"/>
              </w:numPr>
              <w:spacing w:line="259" w:lineRule="auto"/>
              <w:rPr>
                <w:rFonts w:eastAsiaTheme="majorEastAsia" w:cstheme="majorBidi"/>
                <w:i/>
                <w:iCs/>
                <w:spacing w:val="10"/>
                <w:kern w:val="28"/>
              </w:rPr>
            </w:pPr>
            <w:r w:rsidRPr="00DA3613">
              <w:rPr>
                <w:rFonts w:eastAsiaTheme="majorEastAsia" w:cstheme="majorBidi"/>
                <w:i/>
                <w:iCs/>
                <w:spacing w:val="10"/>
                <w:kern w:val="28"/>
              </w:rPr>
              <w:t>Information kring skillnad i omfattning för utsläppsfaktorer kopplade till biodrivmedel och elektricitet</w:t>
            </w:r>
            <w:r w:rsidR="00207E47">
              <w:rPr>
                <w:rFonts w:eastAsiaTheme="majorEastAsia" w:cstheme="majorBidi"/>
                <w:i/>
                <w:iCs/>
                <w:spacing w:val="10"/>
                <w:kern w:val="28"/>
              </w:rPr>
              <w:t xml:space="preserve"> samt bio- och fordonsgas</w:t>
            </w:r>
          </w:p>
          <w:p w14:paraId="5CF7CB90" w14:textId="29494535" w:rsidR="000D73EA" w:rsidRDefault="000D73EA" w:rsidP="00BE0124">
            <w:pPr>
              <w:pStyle w:val="Liststycke"/>
              <w:numPr>
                <w:ilvl w:val="1"/>
                <w:numId w:val="29"/>
              </w:numPr>
              <w:spacing w:line="259" w:lineRule="auto"/>
              <w:rPr>
                <w:rFonts w:eastAsiaTheme="majorEastAsia" w:cstheme="majorBidi"/>
                <w:i/>
                <w:iCs/>
                <w:spacing w:val="10"/>
                <w:kern w:val="28"/>
              </w:rPr>
            </w:pPr>
            <w:r w:rsidRPr="00DA3613">
              <w:rPr>
                <w:rFonts w:eastAsiaTheme="majorEastAsia" w:cstheme="majorBidi"/>
                <w:i/>
                <w:iCs/>
                <w:spacing w:val="10"/>
                <w:kern w:val="28"/>
              </w:rPr>
              <w:t>Tilläggsfiler för ytterligare analys</w:t>
            </w:r>
          </w:p>
          <w:p w14:paraId="0A9C4C56" w14:textId="26DE76AE" w:rsidR="00326B22" w:rsidRDefault="00326B22" w:rsidP="00BE0124">
            <w:pPr>
              <w:pStyle w:val="Liststycke"/>
              <w:numPr>
                <w:ilvl w:val="1"/>
                <w:numId w:val="29"/>
              </w:numPr>
              <w:spacing w:line="259" w:lineRule="auto"/>
              <w:rPr>
                <w:rFonts w:eastAsiaTheme="majorEastAsia" w:cstheme="majorBidi"/>
                <w:i/>
                <w:iCs/>
                <w:spacing w:val="10"/>
                <w:kern w:val="28"/>
              </w:rPr>
            </w:pPr>
            <w:r>
              <w:rPr>
                <w:rFonts w:eastAsiaTheme="majorEastAsia" w:cstheme="majorBidi"/>
                <w:i/>
                <w:iCs/>
                <w:spacing w:val="10"/>
                <w:kern w:val="28"/>
              </w:rPr>
              <w:t>Energifaktorer</w:t>
            </w:r>
          </w:p>
          <w:p w14:paraId="45D241A3" w14:textId="5291EC5C" w:rsidR="00326B22" w:rsidRPr="00326B22" w:rsidRDefault="00984033" w:rsidP="00326B22">
            <w:pPr>
              <w:pStyle w:val="Liststycke"/>
              <w:numPr>
                <w:ilvl w:val="1"/>
                <w:numId w:val="29"/>
              </w:numPr>
              <w:rPr>
                <w:rFonts w:eastAsiaTheme="majorEastAsia" w:cstheme="majorBidi"/>
                <w:i/>
                <w:iCs/>
                <w:spacing w:val="10"/>
                <w:kern w:val="28"/>
              </w:rPr>
            </w:pPr>
            <w:r w:rsidRPr="00984033">
              <w:rPr>
                <w:rFonts w:eastAsiaTheme="majorEastAsia" w:cstheme="majorBidi"/>
                <w:i/>
                <w:iCs/>
                <w:spacing w:val="10"/>
                <w:kern w:val="28"/>
              </w:rPr>
              <w:t>Tabell 8 – Energi- och primärenergianvändning för drivmedel och fastighetsenergi</w:t>
            </w:r>
          </w:p>
          <w:p w14:paraId="2B5AA444" w14:textId="77777777" w:rsidR="000D73EA" w:rsidRDefault="000D73EA" w:rsidP="00091893">
            <w:pPr>
              <w:pStyle w:val="Liststycke"/>
              <w:numPr>
                <w:ilvl w:val="0"/>
                <w:numId w:val="29"/>
              </w:numPr>
              <w:spacing w:line="259" w:lineRule="auto"/>
              <w:rPr>
                <w:rFonts w:eastAsiaTheme="majorEastAsia" w:cstheme="majorBidi"/>
                <w:spacing w:val="10"/>
                <w:kern w:val="28"/>
              </w:rPr>
            </w:pPr>
            <w:r w:rsidRPr="00091893">
              <w:rPr>
                <w:rFonts w:eastAsiaTheme="majorEastAsia" w:cstheme="majorBidi"/>
                <w:spacing w:val="10"/>
                <w:kern w:val="28"/>
              </w:rPr>
              <w:t>Förtydligande kring vilka areor som ska matas in vid schablonbaserad rapportering av fastigheter</w:t>
            </w:r>
          </w:p>
          <w:p w14:paraId="40C1247B" w14:textId="77777777" w:rsidR="000D73EA" w:rsidRDefault="000D73EA" w:rsidP="00091893">
            <w:pPr>
              <w:pStyle w:val="Liststycke"/>
              <w:numPr>
                <w:ilvl w:val="0"/>
                <w:numId w:val="29"/>
              </w:numPr>
              <w:spacing w:line="259" w:lineRule="auto"/>
              <w:rPr>
                <w:rFonts w:eastAsiaTheme="majorEastAsia" w:cstheme="majorBidi"/>
                <w:spacing w:val="10"/>
                <w:kern w:val="28"/>
              </w:rPr>
            </w:pPr>
            <w:r>
              <w:rPr>
                <w:rFonts w:eastAsiaTheme="majorEastAsia" w:cstheme="majorBidi"/>
                <w:spacing w:val="10"/>
                <w:kern w:val="28"/>
              </w:rPr>
              <w:t>Förtydligande kring bränslekomponenter och mängder från FRIDA</w:t>
            </w:r>
          </w:p>
          <w:p w14:paraId="74AA33F2" w14:textId="50AC6F57" w:rsidR="000D73EA" w:rsidRDefault="000D73EA" w:rsidP="00091893">
            <w:pPr>
              <w:pStyle w:val="Liststycke"/>
              <w:numPr>
                <w:ilvl w:val="0"/>
                <w:numId w:val="29"/>
              </w:numPr>
              <w:spacing w:line="259" w:lineRule="auto"/>
              <w:rPr>
                <w:rFonts w:eastAsiaTheme="majorEastAsia" w:cstheme="majorBidi"/>
                <w:spacing w:val="10"/>
                <w:kern w:val="28"/>
              </w:rPr>
            </w:pPr>
            <w:r>
              <w:rPr>
                <w:rFonts w:eastAsiaTheme="majorEastAsia" w:cstheme="majorBidi"/>
                <w:spacing w:val="10"/>
                <w:kern w:val="28"/>
              </w:rPr>
              <w:t>Förtydligande kring utsläppsfaktorer för inköp</w:t>
            </w:r>
            <w:r w:rsidR="00020CB9">
              <w:rPr>
                <w:rFonts w:eastAsiaTheme="majorEastAsia" w:cstheme="majorBidi"/>
                <w:spacing w:val="10"/>
                <w:kern w:val="28"/>
              </w:rPr>
              <w:t xml:space="preserve"> av varor och inköp kopplat till naturbruk</w:t>
            </w:r>
          </w:p>
          <w:p w14:paraId="5A3D36B1" w14:textId="77777777" w:rsidR="000D73EA" w:rsidRDefault="00DF40EF" w:rsidP="00091893">
            <w:pPr>
              <w:pStyle w:val="Liststycke"/>
              <w:numPr>
                <w:ilvl w:val="0"/>
                <w:numId w:val="29"/>
              </w:numPr>
              <w:spacing w:line="259" w:lineRule="auto"/>
              <w:rPr>
                <w:rFonts w:eastAsiaTheme="majorEastAsia" w:cstheme="majorBidi"/>
                <w:spacing w:val="10"/>
                <w:kern w:val="28"/>
              </w:rPr>
            </w:pPr>
            <w:r>
              <w:rPr>
                <w:rFonts w:eastAsiaTheme="majorEastAsia" w:cstheme="majorBidi"/>
                <w:spacing w:val="10"/>
                <w:kern w:val="28"/>
              </w:rPr>
              <w:t>Förtydligande kring hur tabell 6 hanteras i verktyget</w:t>
            </w:r>
          </w:p>
          <w:p w14:paraId="0277C922" w14:textId="142DFDF8" w:rsidR="00207E47" w:rsidRPr="00207E47" w:rsidRDefault="00F73883" w:rsidP="00207E47">
            <w:pPr>
              <w:pStyle w:val="Liststycke"/>
              <w:numPr>
                <w:ilvl w:val="0"/>
                <w:numId w:val="29"/>
              </w:numPr>
              <w:spacing w:line="259" w:lineRule="auto"/>
              <w:rPr>
                <w:rFonts w:eastAsiaTheme="majorEastAsia" w:cstheme="majorBidi"/>
                <w:spacing w:val="10"/>
                <w:kern w:val="28"/>
              </w:rPr>
            </w:pPr>
            <w:r>
              <w:rPr>
                <w:rFonts w:eastAsiaTheme="majorEastAsia" w:cstheme="majorBidi"/>
                <w:spacing w:val="10"/>
                <w:kern w:val="28"/>
              </w:rPr>
              <w:t>Förtydligande kring tvättjänster</w:t>
            </w:r>
            <w:r w:rsidR="00207E47">
              <w:rPr>
                <w:rFonts w:eastAsiaTheme="majorEastAsia" w:cstheme="majorBidi"/>
                <w:spacing w:val="10"/>
                <w:kern w:val="28"/>
              </w:rPr>
              <w:t>.</w:t>
            </w:r>
          </w:p>
        </w:tc>
      </w:tr>
    </w:tbl>
    <w:p w14:paraId="08FA015A" w14:textId="77777777" w:rsidR="002B3124" w:rsidRDefault="002B3124" w:rsidP="00116F6B">
      <w:pPr>
        <w:pStyle w:val="Rubrik1"/>
      </w:pPr>
    </w:p>
    <w:p w14:paraId="7A128021" w14:textId="77777777" w:rsidR="002B3124" w:rsidRDefault="002B3124">
      <w:pPr>
        <w:spacing w:line="259" w:lineRule="auto"/>
        <w:rPr>
          <w:rFonts w:ascii="Museo Sans Rounded 900" w:eastAsiaTheme="majorEastAsia" w:hAnsi="Museo Sans Rounded 900" w:cstheme="majorBidi"/>
          <w:spacing w:val="10"/>
          <w:kern w:val="28"/>
          <w:sz w:val="36"/>
          <w:szCs w:val="36"/>
        </w:rPr>
      </w:pPr>
      <w:r>
        <w:br w:type="page"/>
      </w:r>
    </w:p>
    <w:p w14:paraId="32CA7929" w14:textId="77777777" w:rsidR="0005556F" w:rsidRDefault="00B74C0C" w:rsidP="00116F6B">
      <w:pPr>
        <w:pStyle w:val="Rubrik1"/>
      </w:pPr>
      <w:bookmarkStart w:id="1" w:name="_Toc152920015"/>
      <w:r>
        <w:t>Inledning</w:t>
      </w:r>
      <w:bookmarkEnd w:id="1"/>
    </w:p>
    <w:p w14:paraId="1C96E773" w14:textId="77777777" w:rsidR="008275E2" w:rsidRPr="00573C84" w:rsidRDefault="001A7D35" w:rsidP="001406BD">
      <w:pPr>
        <w:rPr>
          <w:bCs/>
          <w:iCs/>
        </w:rPr>
      </w:pPr>
      <w:r>
        <w:t>Denna v</w:t>
      </w:r>
      <w:r w:rsidR="001406BD">
        <w:t xml:space="preserve">ägledning </w:t>
      </w:r>
      <w:r>
        <w:t>och tillhörande beräknings</w:t>
      </w:r>
      <w:r w:rsidR="00632A1C">
        <w:t xml:space="preserve">verktyg för </w:t>
      </w:r>
      <w:r w:rsidR="008B021A">
        <w:t>klimatredovisning</w:t>
      </w:r>
      <w:r w:rsidRPr="00327A20">
        <w:rPr>
          <w:color w:val="FF0000"/>
        </w:rPr>
        <w:t xml:space="preserve"> </w:t>
      </w:r>
      <w:r>
        <w:t xml:space="preserve">är framtagen för </w:t>
      </w:r>
      <w:r w:rsidR="008275E2">
        <w:t xml:space="preserve">att </w:t>
      </w:r>
      <w:r w:rsidR="008275E2" w:rsidRPr="00D221FD">
        <w:rPr>
          <w:b/>
          <w:bCs/>
        </w:rPr>
        <w:t xml:space="preserve">underlätta </w:t>
      </w:r>
      <w:r w:rsidRPr="00D221FD">
        <w:rPr>
          <w:b/>
          <w:bCs/>
        </w:rPr>
        <w:t>regionernas arbete med klimatredovisning</w:t>
      </w:r>
      <w:r>
        <w:t xml:space="preserve"> och bidra till en </w:t>
      </w:r>
      <w:r w:rsidR="009E5209">
        <w:rPr>
          <w:bCs/>
          <w:iCs/>
        </w:rPr>
        <w:t xml:space="preserve">mer </w:t>
      </w:r>
      <w:r w:rsidRPr="00573C84">
        <w:rPr>
          <w:bCs/>
          <w:iCs/>
        </w:rPr>
        <w:t>enhetlig redovisning</w:t>
      </w:r>
      <w:r w:rsidR="00E15656" w:rsidRPr="00573C84">
        <w:rPr>
          <w:bCs/>
          <w:iCs/>
        </w:rPr>
        <w:t xml:space="preserve"> regionerna emellan</w:t>
      </w:r>
      <w:r w:rsidR="001406BD" w:rsidRPr="00573C84">
        <w:rPr>
          <w:bCs/>
          <w:iCs/>
        </w:rPr>
        <w:t xml:space="preserve">. </w:t>
      </w:r>
    </w:p>
    <w:p w14:paraId="6439DA2D" w14:textId="77777777" w:rsidR="00AB3328" w:rsidRDefault="00DE64F9" w:rsidP="001A7D35">
      <w:r w:rsidRPr="00573C84">
        <w:rPr>
          <w:bCs/>
          <w:iCs/>
        </w:rPr>
        <w:t>Den första versionen av v</w:t>
      </w:r>
      <w:r w:rsidR="00DB4A91" w:rsidRPr="00573C84">
        <w:rPr>
          <w:bCs/>
          <w:iCs/>
        </w:rPr>
        <w:t xml:space="preserve">ägledningen </w:t>
      </w:r>
      <w:r w:rsidR="006A3C4F" w:rsidRPr="00573C84">
        <w:rPr>
          <w:bCs/>
          <w:iCs/>
        </w:rPr>
        <w:t>har producerats av</w:t>
      </w:r>
      <w:r w:rsidR="008275E2" w:rsidRPr="00573C84">
        <w:rPr>
          <w:bCs/>
          <w:iCs/>
        </w:rPr>
        <w:t xml:space="preserve"> 2050 </w:t>
      </w:r>
      <w:r w:rsidR="001A7D35" w:rsidRPr="00573C84">
        <w:rPr>
          <w:bCs/>
          <w:iCs/>
        </w:rPr>
        <w:t xml:space="preserve">Consulting </w:t>
      </w:r>
      <w:r w:rsidR="006C64B5" w:rsidRPr="00573C84">
        <w:rPr>
          <w:bCs/>
          <w:iCs/>
        </w:rPr>
        <w:t xml:space="preserve">(2050) </w:t>
      </w:r>
      <w:r w:rsidR="008275E2" w:rsidRPr="00573C84">
        <w:rPr>
          <w:bCs/>
          <w:iCs/>
        </w:rPr>
        <w:t xml:space="preserve">på uppdrag av </w:t>
      </w:r>
      <w:r w:rsidR="006C64B5" w:rsidRPr="00573C84">
        <w:rPr>
          <w:bCs/>
          <w:iCs/>
        </w:rPr>
        <w:t>Sveriges Kommuner och Regioner (</w:t>
      </w:r>
      <w:r w:rsidR="008275E2" w:rsidRPr="00573C84">
        <w:rPr>
          <w:bCs/>
          <w:iCs/>
        </w:rPr>
        <w:t>SKR</w:t>
      </w:r>
      <w:r w:rsidR="006C64B5" w:rsidRPr="00573C84">
        <w:rPr>
          <w:bCs/>
          <w:iCs/>
        </w:rPr>
        <w:t>)</w:t>
      </w:r>
      <w:r w:rsidR="006159DA" w:rsidRPr="00573C84">
        <w:rPr>
          <w:bCs/>
          <w:iCs/>
        </w:rPr>
        <w:t xml:space="preserve"> </w:t>
      </w:r>
      <w:r w:rsidRPr="00573C84">
        <w:rPr>
          <w:bCs/>
          <w:iCs/>
        </w:rPr>
        <w:t>och levererades</w:t>
      </w:r>
      <w:r w:rsidR="006B3F56" w:rsidRPr="00573C84">
        <w:rPr>
          <w:bCs/>
          <w:iCs/>
        </w:rPr>
        <w:t xml:space="preserve"> </w:t>
      </w:r>
      <w:r w:rsidR="006159DA" w:rsidRPr="00573C84">
        <w:rPr>
          <w:bCs/>
          <w:iCs/>
        </w:rPr>
        <w:t>i början av 2022</w:t>
      </w:r>
      <w:r w:rsidR="001A7D35" w:rsidRPr="00573C84">
        <w:rPr>
          <w:bCs/>
          <w:iCs/>
        </w:rPr>
        <w:t>.</w:t>
      </w:r>
      <w:r w:rsidR="008275E2">
        <w:rPr>
          <w:bCs/>
          <w:iCs/>
        </w:rPr>
        <w:t xml:space="preserve"> Grunden har varit ett utvecklingsarbete mellan </w:t>
      </w:r>
      <w:r w:rsidR="005D181E">
        <w:rPr>
          <w:bCs/>
          <w:iCs/>
        </w:rPr>
        <w:t xml:space="preserve">ett antal </w:t>
      </w:r>
      <w:r w:rsidR="008275E2">
        <w:rPr>
          <w:bCs/>
          <w:iCs/>
        </w:rPr>
        <w:t xml:space="preserve">regioner med koppling till </w:t>
      </w:r>
      <w:r w:rsidR="00FE1639">
        <w:rPr>
          <w:bCs/>
          <w:iCs/>
        </w:rPr>
        <w:t>r</w:t>
      </w:r>
      <w:r w:rsidR="008275E2">
        <w:rPr>
          <w:bCs/>
          <w:iCs/>
        </w:rPr>
        <w:t>egionernas miljöchefer, RMC och SKR</w:t>
      </w:r>
      <w:r w:rsidR="002D5DC5">
        <w:rPr>
          <w:bCs/>
          <w:iCs/>
        </w:rPr>
        <w:t>:</w:t>
      </w:r>
      <w:r w:rsidR="008275E2">
        <w:rPr>
          <w:bCs/>
          <w:iCs/>
        </w:rPr>
        <w:t>s Öppna jämförelser miljöarbetet i regionerna.</w:t>
      </w:r>
      <w:r w:rsidR="001406BD" w:rsidRPr="005C31A0">
        <w:rPr>
          <w:bCs/>
          <w:iCs/>
        </w:rPr>
        <w:t xml:space="preserve"> </w:t>
      </w:r>
      <w:r w:rsidR="006A3C4F">
        <w:t xml:space="preserve">Inom ramen för Öppna jämförelser har regionernas klimatberäkningar på ett tjugotal områden sammanställts under 3 års tid. Samtliga regioner har gjort någon typ av redovisning, men omfattning och avgränsningar varierar stort. </w:t>
      </w:r>
    </w:p>
    <w:p w14:paraId="1A73E16B" w14:textId="77777777" w:rsidR="00051FFD" w:rsidRDefault="001A7D35" w:rsidP="00051FFD">
      <w:r>
        <w:t xml:space="preserve">Vägledningen syftar till att skapa en </w:t>
      </w:r>
      <w:r w:rsidRPr="00D221FD">
        <w:rPr>
          <w:b/>
          <w:bCs/>
        </w:rPr>
        <w:t>branschstandard för klimatberäkningar i regioner</w:t>
      </w:r>
      <w:r>
        <w:t xml:space="preserve"> </w:t>
      </w:r>
      <w:r w:rsidR="00A64DC5">
        <w:t xml:space="preserve">som gör </w:t>
      </w:r>
      <w:r w:rsidR="00A90D8F">
        <w:t xml:space="preserve">resultat </w:t>
      </w:r>
      <w:r>
        <w:t xml:space="preserve">jämförbara </w:t>
      </w:r>
      <w:r w:rsidR="00A90D8F">
        <w:t xml:space="preserve">samt </w:t>
      </w:r>
      <w:r w:rsidR="00E82634">
        <w:t xml:space="preserve">agera </w:t>
      </w:r>
      <w:r>
        <w:t xml:space="preserve">stöd </w:t>
      </w:r>
      <w:r w:rsidR="007343F4">
        <w:t xml:space="preserve">åt </w:t>
      </w:r>
      <w:r>
        <w:t xml:space="preserve">de regioner som </w:t>
      </w:r>
      <w:r w:rsidR="00581890">
        <w:t>påbörjar arbetet med att ta fram</w:t>
      </w:r>
      <w:r>
        <w:t xml:space="preserve"> </w:t>
      </w:r>
      <w:r w:rsidR="00722C02">
        <w:t>en klimatredovisning</w:t>
      </w:r>
      <w:r>
        <w:t>. Den ger också möjlighet att redovisa mer jämförbara klimatdata i SKR:s Öppna jämförelser.</w:t>
      </w:r>
      <w:r w:rsidR="00632A1C">
        <w:t xml:space="preserve"> </w:t>
      </w:r>
      <w:r w:rsidR="00560103">
        <w:t xml:space="preserve">Samtidigt är vägledningen en samlad bild av kunskapsläget </w:t>
      </w:r>
      <w:r w:rsidR="001406BD">
        <w:t>från regioner och andra branscher.</w:t>
      </w:r>
      <w:r w:rsidR="00864445">
        <w:t xml:space="preserve"> </w:t>
      </w:r>
      <w:r w:rsidR="00A747D6">
        <w:t xml:space="preserve">En förklarande </w:t>
      </w:r>
      <w:r w:rsidR="00A747D6" w:rsidRPr="008B021A">
        <w:t xml:space="preserve">ordlista </w:t>
      </w:r>
      <w:r w:rsidR="00A747D6">
        <w:t xml:space="preserve">finns </w:t>
      </w:r>
      <w:r w:rsidR="00A747D6" w:rsidRPr="008B021A">
        <w:t>i slutet av vägledningen.</w:t>
      </w:r>
    </w:p>
    <w:p w14:paraId="6A9B7D04" w14:textId="77777777" w:rsidR="00A747D6" w:rsidRDefault="00A747D6" w:rsidP="00A747D6">
      <w:pPr>
        <w:spacing w:line="259" w:lineRule="auto"/>
      </w:pPr>
      <w:r>
        <w:t xml:space="preserve">Vägledningen är kopplad till ett </w:t>
      </w:r>
      <w:r w:rsidRPr="00D221FD">
        <w:rPr>
          <w:b/>
          <w:bCs/>
        </w:rPr>
        <w:t>beräkningsverktyg i Excel</w:t>
      </w:r>
      <w:r>
        <w:t>, genom vilket regionerna kan beräkna sin klimatpåverkan. I verktyget finns stora möjligheter att välja egna utsläppsvärden eller schabloniserade värden för riket och olika produkter.</w:t>
      </w:r>
    </w:p>
    <w:p w14:paraId="6A17F6AA" w14:textId="77777777" w:rsidR="006B4066" w:rsidRDefault="00A747D6" w:rsidP="00051FFD">
      <w:r>
        <w:t xml:space="preserve">Vägledningen och verktyget </w:t>
      </w:r>
      <w:r w:rsidR="006B4066">
        <w:t xml:space="preserve">innehåller ett stort antal relevanta verksamhetsområden och aktiviteter för regionernas klimatredovisning. </w:t>
      </w:r>
      <w:r w:rsidR="00156B25" w:rsidRPr="00156B25">
        <w:rPr>
          <w:b/>
          <w:bCs/>
        </w:rPr>
        <w:t>Varje region avgör själv</w:t>
      </w:r>
      <w:r w:rsidR="00156B25">
        <w:t xml:space="preserve"> </w:t>
      </w:r>
      <w:r w:rsidR="006B4066" w:rsidRPr="00A747D6">
        <w:rPr>
          <w:b/>
          <w:bCs/>
        </w:rPr>
        <w:t xml:space="preserve">på vilka områden </w:t>
      </w:r>
      <w:r w:rsidR="00AB3328">
        <w:rPr>
          <w:b/>
          <w:bCs/>
        </w:rPr>
        <w:t>det finns</w:t>
      </w:r>
      <w:r w:rsidR="006B4066" w:rsidRPr="00A747D6">
        <w:rPr>
          <w:b/>
          <w:bCs/>
        </w:rPr>
        <w:t xml:space="preserve"> intresse och underlag för att redovisa</w:t>
      </w:r>
      <w:r w:rsidR="006B4066">
        <w:t xml:space="preserve">. </w:t>
      </w:r>
      <w:r w:rsidR="00560103">
        <w:t xml:space="preserve">Vägledningen </w:t>
      </w:r>
      <w:r w:rsidR="006B4066">
        <w:t xml:space="preserve">ger underlag för hur </w:t>
      </w:r>
      <w:r>
        <w:t>data kan tas fram</w:t>
      </w:r>
      <w:r w:rsidR="00AB3328">
        <w:t xml:space="preserve">. Den </w:t>
      </w:r>
      <w:r w:rsidR="006B4066">
        <w:t xml:space="preserve">indikerar </w:t>
      </w:r>
      <w:r w:rsidR="00AB3328">
        <w:t xml:space="preserve">även </w:t>
      </w:r>
      <w:r w:rsidR="006B4066">
        <w:t xml:space="preserve">vilka områden som ofta är mer krävande och förutsätter särskilda undersökningar, </w:t>
      </w:r>
      <w:r w:rsidR="00573F20">
        <w:t>till</w:t>
      </w:r>
      <w:r w:rsidR="00D34835">
        <w:t xml:space="preserve"> </w:t>
      </w:r>
      <w:r w:rsidR="00573F20">
        <w:t>exempel</w:t>
      </w:r>
      <w:r w:rsidR="006B4066">
        <w:t xml:space="preserve"> obetalda patientresor. Sådana områden </w:t>
      </w:r>
      <w:r>
        <w:t xml:space="preserve">omnämns </w:t>
      </w:r>
      <w:r w:rsidR="006B4066">
        <w:t>i texten som</w:t>
      </w:r>
      <w:r w:rsidR="008F77D2">
        <w:t xml:space="preserve"> en mer </w:t>
      </w:r>
      <w:r w:rsidR="006B4066">
        <w:t xml:space="preserve">avancerad nivå. </w:t>
      </w:r>
    </w:p>
    <w:p w14:paraId="345ECD65" w14:textId="2F3D3E0D" w:rsidR="00FC632E" w:rsidRDefault="00FC632E" w:rsidP="00051FFD">
      <w:r w:rsidRPr="00116F6B">
        <w:t xml:space="preserve">Redovisningen </w:t>
      </w:r>
      <w:r w:rsidR="00911F19">
        <w:t xml:space="preserve">bör även </w:t>
      </w:r>
      <w:r w:rsidRPr="00116F6B">
        <w:t>omfatta flera verksamhetsområden</w:t>
      </w:r>
      <w:r w:rsidR="001034CC">
        <w:t xml:space="preserve"> som inte omnämns specifikt</w:t>
      </w:r>
      <w:r w:rsidR="00387120">
        <w:t>, exempelvis kulturverksamhet</w:t>
      </w:r>
      <w:r w:rsidR="001034CC">
        <w:t xml:space="preserve">. Dessa inkluderas när så är möjligt i befintliga övergripande poster, så som </w:t>
      </w:r>
      <w:r w:rsidR="009848D6">
        <w:t>T</w:t>
      </w:r>
      <w:r w:rsidR="001034CC">
        <w:t>ransporter</w:t>
      </w:r>
      <w:r w:rsidR="00135C55">
        <w:t xml:space="preserve"> och </w:t>
      </w:r>
      <w:r w:rsidR="009848D6" w:rsidRPr="00F73883">
        <w:t>F</w:t>
      </w:r>
      <w:r w:rsidR="00135C55" w:rsidRPr="00F73883">
        <w:t xml:space="preserve">astigheter. </w:t>
      </w:r>
      <w:r w:rsidR="003124BD" w:rsidRPr="00F73883">
        <w:t xml:space="preserve">Utsläppen kan även särredovisas helt genom att inkluderas under </w:t>
      </w:r>
      <w:r w:rsidR="009848D6" w:rsidRPr="00F73883">
        <w:t>Hel- eller delägda</w:t>
      </w:r>
      <w:r w:rsidR="004537D5" w:rsidRPr="00F73883">
        <w:t xml:space="preserve"> bolag</w:t>
      </w:r>
      <w:r w:rsidR="009848D6" w:rsidRPr="00F73883">
        <w:t xml:space="preserve"> utanför kärnverksamheten</w:t>
      </w:r>
      <w:r w:rsidR="004537D5" w:rsidRPr="00F73883">
        <w:t>.</w:t>
      </w:r>
      <w:r w:rsidR="00730CD9" w:rsidRPr="00F73883">
        <w:t xml:space="preserve"> </w:t>
      </w:r>
      <w:r w:rsidR="00F73883" w:rsidRPr="00F73883">
        <w:t xml:space="preserve">Det finns även </w:t>
      </w:r>
      <w:r w:rsidR="00AC7266" w:rsidRPr="00F73883">
        <w:t xml:space="preserve">möjlighet till </w:t>
      </w:r>
      <w:r w:rsidR="00441301" w:rsidRPr="00F73883">
        <w:t>förvaltningsspecifik inmatning.</w:t>
      </w:r>
      <w:r w:rsidR="00441301">
        <w:t xml:space="preserve"> </w:t>
      </w:r>
    </w:p>
    <w:p w14:paraId="33FA7C46" w14:textId="59139EB5" w:rsidR="003E663F" w:rsidRDefault="00DE64F9" w:rsidP="00A747D6">
      <w:r w:rsidRPr="00573C84">
        <w:t>Denna version av v</w:t>
      </w:r>
      <w:r w:rsidR="006F08B2" w:rsidRPr="00573C84">
        <w:t xml:space="preserve">ägledningen är framtagen för att </w:t>
      </w:r>
      <w:r w:rsidR="006F08B2" w:rsidRPr="00573C84">
        <w:rPr>
          <w:b/>
          <w:bCs/>
        </w:rPr>
        <w:t xml:space="preserve">fungera för redovisning under </w:t>
      </w:r>
      <w:r w:rsidR="00F73883" w:rsidRPr="00573C84">
        <w:rPr>
          <w:b/>
          <w:bCs/>
        </w:rPr>
        <w:t>2024</w:t>
      </w:r>
      <w:r w:rsidR="006F08B2" w:rsidRPr="00573C84">
        <w:rPr>
          <w:b/>
          <w:bCs/>
        </w:rPr>
        <w:t xml:space="preserve"> gällande </w:t>
      </w:r>
      <w:r w:rsidR="00F73883" w:rsidRPr="00573C84">
        <w:rPr>
          <w:b/>
          <w:bCs/>
        </w:rPr>
        <w:t>2023</w:t>
      </w:r>
      <w:r w:rsidR="006F08B2" w:rsidRPr="00573C84">
        <w:rPr>
          <w:b/>
          <w:bCs/>
        </w:rPr>
        <w:t xml:space="preserve"> och tidigare å</w:t>
      </w:r>
      <w:r w:rsidR="006F08B2" w:rsidRPr="00573C84">
        <w:t>r.</w:t>
      </w:r>
      <w:r w:rsidR="005D7D70" w:rsidRPr="00573C84">
        <w:t xml:space="preserve"> </w:t>
      </w:r>
      <w:r w:rsidR="00294494" w:rsidRPr="00573C84">
        <w:t>Allt</w:t>
      </w:r>
      <w:r w:rsidR="00294494">
        <w:t xml:space="preserve"> eftersom regionernas klimat</w:t>
      </w:r>
      <w:r w:rsidR="006F08B2">
        <w:t xml:space="preserve">arbete och </w:t>
      </w:r>
      <w:r w:rsidR="00294494">
        <w:t xml:space="preserve">beräkningar </w:t>
      </w:r>
      <w:r w:rsidR="006F08B2">
        <w:t xml:space="preserve">fortskrider </w:t>
      </w:r>
      <w:r w:rsidR="00864445">
        <w:t xml:space="preserve">behövs ett </w:t>
      </w:r>
      <w:r w:rsidR="00864445" w:rsidRPr="00C87F05">
        <w:rPr>
          <w:b/>
          <w:bCs/>
        </w:rPr>
        <w:t>fortsatt utvecklingsarbete</w:t>
      </w:r>
      <w:r w:rsidR="00864445">
        <w:t xml:space="preserve"> för ökad användar</w:t>
      </w:r>
      <w:r w:rsidR="00C87F05">
        <w:softHyphen/>
      </w:r>
      <w:r w:rsidR="00864445">
        <w:t xml:space="preserve">vänlighet, </w:t>
      </w:r>
      <w:r w:rsidR="00A747D6">
        <w:t>justerad kategoriindelning,</w:t>
      </w:r>
      <w:r w:rsidR="00294494">
        <w:t xml:space="preserve"> </w:t>
      </w:r>
      <w:r w:rsidR="00864445">
        <w:t>bättre underlag och utsläppsfaktorer samt</w:t>
      </w:r>
      <w:r w:rsidR="00294494">
        <w:t xml:space="preserve"> </w:t>
      </w:r>
      <w:r w:rsidR="00864445">
        <w:t>koppling till annat arbete och befintliga system i regionerna.</w:t>
      </w:r>
      <w:r w:rsidR="00A747D6">
        <w:t xml:space="preserve"> </w:t>
      </w:r>
      <w:r w:rsidR="00AB3328">
        <w:t>R</w:t>
      </w:r>
      <w:r w:rsidR="006F08B2">
        <w:t>egionernas nätverksarbete</w:t>
      </w:r>
      <w:r w:rsidR="00AB3328">
        <w:t xml:space="preserve"> kommer att hantera sådana frågor</w:t>
      </w:r>
      <w:r w:rsidR="006F08B2">
        <w:t>.</w:t>
      </w:r>
      <w:r w:rsidR="00311A65">
        <w:t xml:space="preserve"> </w:t>
      </w:r>
    </w:p>
    <w:p w14:paraId="2B7E6871" w14:textId="3FD57659" w:rsidR="004631DD" w:rsidRDefault="003E663F" w:rsidP="00A747D6">
      <w:pPr>
        <w:rPr>
          <w:rFonts w:ascii="Museo Sans Rounded 900" w:eastAsiaTheme="majorEastAsia" w:hAnsi="Museo Sans Rounded 900" w:cstheme="majorBidi"/>
          <w:spacing w:val="10"/>
          <w:kern w:val="28"/>
          <w:sz w:val="36"/>
          <w:szCs w:val="36"/>
        </w:rPr>
      </w:pPr>
      <w:r>
        <w:t xml:space="preserve">Uppdraget har på </w:t>
      </w:r>
      <w:r w:rsidRPr="00116F6B">
        <w:t>2050 Consulting</w:t>
      </w:r>
      <w:r>
        <w:t xml:space="preserve"> utförts av </w:t>
      </w:r>
      <w:r w:rsidRPr="00116F6B">
        <w:t>Göran Erselius</w:t>
      </w:r>
      <w:r>
        <w:t xml:space="preserve">, Carl Gustafsson, Linnea Turnstedt och Isak Höglund. </w:t>
      </w:r>
      <w:r w:rsidR="00C87F05">
        <w:t>Referensgruppen har bestått av</w:t>
      </w:r>
      <w:r>
        <w:rPr>
          <w:bCs/>
          <w:iCs/>
        </w:rPr>
        <w:t xml:space="preserve"> representanter från fem regioner och SKR: Andreas Hagnell, SKR; Karin Ramstedt, Region Östergötland; Annelie Wiklund, Region Jönköpings län; Kristin Jonson, Region Sörmland; och Camilla Hjelm, Region Gävleborg.</w:t>
      </w:r>
      <w:r w:rsidR="004631DD">
        <w:br w:type="page"/>
      </w:r>
    </w:p>
    <w:p w14:paraId="2B7976D1" w14:textId="77777777" w:rsidR="006A3C4F" w:rsidRPr="006A3C4F" w:rsidRDefault="00E458BB" w:rsidP="00116F6B">
      <w:pPr>
        <w:pStyle w:val="Rubrik1"/>
      </w:pPr>
      <w:bookmarkStart w:id="2" w:name="_Toc152920016"/>
      <w:r>
        <w:t>Föreslagen</w:t>
      </w:r>
      <w:r w:rsidR="00E14ED5">
        <w:t xml:space="preserve"> metod</w:t>
      </w:r>
      <w:bookmarkEnd w:id="2"/>
    </w:p>
    <w:p w14:paraId="6DCFF981" w14:textId="77777777" w:rsidR="00C82FEC" w:rsidRPr="006A3C4F" w:rsidRDefault="00C82FEC" w:rsidP="008A70A4">
      <w:pPr>
        <w:pStyle w:val="Rubrik2"/>
      </w:pPr>
      <w:bookmarkStart w:id="3" w:name="_Toc152920017"/>
      <w:r w:rsidRPr="008D4413">
        <w:t>Green House Gas Protoc</w:t>
      </w:r>
      <w:r w:rsidRPr="001A6152">
        <w:t>o</w:t>
      </w:r>
      <w:r w:rsidRPr="0019178C">
        <w:t>l</w:t>
      </w:r>
      <w:r w:rsidRPr="00492BC1">
        <w:t xml:space="preserve"> </w:t>
      </w:r>
      <w:r w:rsidR="001836BC" w:rsidRPr="00766AEF">
        <w:t>-</w:t>
      </w:r>
      <w:r w:rsidRPr="004E5550">
        <w:t xml:space="preserve"> </w:t>
      </w:r>
      <w:r w:rsidR="00C070AF">
        <w:t xml:space="preserve">redovisning </w:t>
      </w:r>
      <w:r w:rsidRPr="006A3C4F">
        <w:t>i tre scope</w:t>
      </w:r>
      <w:bookmarkEnd w:id="3"/>
    </w:p>
    <w:p w14:paraId="5EA3B1F0" w14:textId="77777777" w:rsidR="007F35A4" w:rsidRDefault="00D42D3E" w:rsidP="007F35A4">
      <w:r w:rsidRPr="00D42D3E">
        <w:t>Beräkningar av växthusgasutsläpp</w:t>
      </w:r>
      <w:r w:rsidR="007F35A4">
        <w:t xml:space="preserve"> </w:t>
      </w:r>
      <w:r>
        <w:t>görs</w:t>
      </w:r>
      <w:r w:rsidRPr="00D42D3E">
        <w:t xml:space="preserve"> i enlighet med Greenhouse Gas Protocol</w:t>
      </w:r>
      <w:r w:rsidR="00BA39EC">
        <w:t xml:space="preserve"> (GHG Protocol). </w:t>
      </w:r>
      <w:r w:rsidR="0085464A">
        <w:t xml:space="preserve">Det är den </w:t>
      </w:r>
      <w:r w:rsidR="007F35A4">
        <w:t xml:space="preserve">mest använda redovisningsstandard för </w:t>
      </w:r>
      <w:r w:rsidR="001836BC">
        <w:t xml:space="preserve">att </w:t>
      </w:r>
      <w:r w:rsidR="000423B8">
        <w:t>beräkna</w:t>
      </w:r>
      <w:r w:rsidR="001836BC">
        <w:t xml:space="preserve"> </w:t>
      </w:r>
      <w:r w:rsidR="00C6016B">
        <w:t>u</w:t>
      </w:r>
      <w:r w:rsidR="000423B8">
        <w:t xml:space="preserve">tsläpp av </w:t>
      </w:r>
      <w:r w:rsidR="007F35A4">
        <w:t xml:space="preserve">växthusgaser. Standarden togs fram 2001 och uppdateras </w:t>
      </w:r>
      <w:r w:rsidR="0085464A">
        <w:t xml:space="preserve">löpande </w:t>
      </w:r>
      <w:r w:rsidR="007F35A4">
        <w:t>genom ett partnerskap mellan World Resources Institute och World Business Council for Sustainable Development tillsammans med regeringar, branschorganisationer, ideella föreningar och organisationer.</w:t>
      </w:r>
    </w:p>
    <w:p w14:paraId="48EE2991" w14:textId="77777777" w:rsidR="00BA39EC" w:rsidRDefault="00BA39EC" w:rsidP="00BA39EC">
      <w:pPr>
        <w:spacing w:after="0"/>
      </w:pPr>
      <w:r>
        <w:t>GHG Protocol bygger på fem principer:</w:t>
      </w:r>
    </w:p>
    <w:p w14:paraId="73BD704C" w14:textId="77777777" w:rsidR="00BA39EC" w:rsidRDefault="00BA39EC" w:rsidP="00BA39EC">
      <w:pPr>
        <w:pStyle w:val="Liststycke"/>
        <w:numPr>
          <w:ilvl w:val="0"/>
          <w:numId w:val="1"/>
        </w:numPr>
        <w:spacing w:line="259" w:lineRule="auto"/>
      </w:pPr>
      <w:r>
        <w:t>Relevant spegling av företagets eller organisationens utsläpp, så rapporteringen ger beslutsunderlag.</w:t>
      </w:r>
    </w:p>
    <w:p w14:paraId="4589FE88" w14:textId="77777777" w:rsidR="00BA39EC" w:rsidRDefault="00BA39EC" w:rsidP="00BA39EC">
      <w:pPr>
        <w:pStyle w:val="Liststycke"/>
        <w:numPr>
          <w:ilvl w:val="0"/>
          <w:numId w:val="1"/>
        </w:numPr>
        <w:spacing w:line="259" w:lineRule="auto"/>
      </w:pPr>
      <w:r>
        <w:t>Heltäckande rapportering inom den angivna systemgränsen, undantag ska beskrivas och förklaras.</w:t>
      </w:r>
    </w:p>
    <w:p w14:paraId="59F68909" w14:textId="77777777" w:rsidR="00BA39EC" w:rsidRDefault="00BA39EC" w:rsidP="00BA39EC">
      <w:pPr>
        <w:pStyle w:val="Liststycke"/>
        <w:numPr>
          <w:ilvl w:val="0"/>
          <w:numId w:val="1"/>
        </w:numPr>
        <w:spacing w:line="259" w:lineRule="auto"/>
      </w:pPr>
      <w:r>
        <w:t>Konsekvent metod för jämförelser över tid, förändringar dokumenteras.</w:t>
      </w:r>
    </w:p>
    <w:p w14:paraId="61F4121B" w14:textId="77777777" w:rsidR="00BA39EC" w:rsidRDefault="00BA39EC" w:rsidP="00BA39EC">
      <w:pPr>
        <w:pStyle w:val="Liststycke"/>
        <w:numPr>
          <w:ilvl w:val="0"/>
          <w:numId w:val="1"/>
        </w:numPr>
        <w:spacing w:line="259" w:lineRule="auto"/>
      </w:pPr>
      <w:r>
        <w:t>Transparens och dokumentation av all bakgrundsdata, metoder, källor och antaganden.</w:t>
      </w:r>
    </w:p>
    <w:p w14:paraId="6B678EF7" w14:textId="77777777" w:rsidR="00BA39EC" w:rsidRDefault="00BA39EC" w:rsidP="00BA39EC">
      <w:pPr>
        <w:pStyle w:val="Liststycke"/>
        <w:numPr>
          <w:ilvl w:val="0"/>
          <w:numId w:val="1"/>
        </w:numPr>
        <w:spacing w:line="259" w:lineRule="auto"/>
      </w:pPr>
      <w:r>
        <w:t>Beräknade utsläpp ska ligga så nära som möjligt till verkliga utsläpp.</w:t>
      </w:r>
    </w:p>
    <w:p w14:paraId="7EE48EEA" w14:textId="77777777" w:rsidR="00CC75BF" w:rsidRDefault="006A538B" w:rsidP="00D42D3E">
      <w:r>
        <w:t xml:space="preserve">I GHG </w:t>
      </w:r>
      <w:r w:rsidR="00DD32C0">
        <w:t>Protocol</w:t>
      </w:r>
      <w:r w:rsidR="005172B7">
        <w:t xml:space="preserve"> inkluderas både verksamhetens direkta och indirekta utsläpp och dessa</w:t>
      </w:r>
      <w:r w:rsidR="00DD32C0">
        <w:t xml:space="preserve"> </w:t>
      </w:r>
      <w:r w:rsidR="00BA39EC">
        <w:t xml:space="preserve">redovisas fördelat mellan scope 1, 2 och 3. </w:t>
      </w:r>
    </w:p>
    <w:p w14:paraId="214BAA82" w14:textId="77777777" w:rsidR="003E2181" w:rsidRDefault="00D42D3E" w:rsidP="00D42D3E">
      <w:r w:rsidRPr="003E2181">
        <w:rPr>
          <w:b/>
          <w:bCs/>
        </w:rPr>
        <w:t>Scope 1</w:t>
      </w:r>
      <w:r w:rsidRPr="00D42D3E">
        <w:t xml:space="preserve"> </w:t>
      </w:r>
      <w:r w:rsidR="00CC75BF">
        <w:t>-</w:t>
      </w:r>
      <w:r w:rsidRPr="00D42D3E">
        <w:t xml:space="preserve"> direkta utsläpp från verksamheten. Exempel på sådana utsläpp är utsläpp från förbränning av drivmedel, från bränsle i egenägda verksamhetsbilar</w:t>
      </w:r>
      <w:r w:rsidR="003E2181">
        <w:t>.</w:t>
      </w:r>
    </w:p>
    <w:p w14:paraId="6ED90EAC" w14:textId="77777777" w:rsidR="003E2181" w:rsidRDefault="00D42D3E" w:rsidP="00D42D3E">
      <w:r w:rsidRPr="003E2181">
        <w:rPr>
          <w:b/>
          <w:bCs/>
        </w:rPr>
        <w:t>Scope 2</w:t>
      </w:r>
      <w:r w:rsidRPr="00D42D3E">
        <w:t xml:space="preserve"> </w:t>
      </w:r>
      <w:r w:rsidR="00CC75BF">
        <w:t>-</w:t>
      </w:r>
      <w:r w:rsidRPr="00D42D3E">
        <w:t xml:space="preserve"> indirekta utsläpp som uppstår vid produktion av inköpt el eller fjärrvärme. </w:t>
      </w:r>
    </w:p>
    <w:p w14:paraId="1814C756" w14:textId="77777777" w:rsidR="00DD32C0" w:rsidRDefault="00D42D3E" w:rsidP="00D42D3E">
      <w:r w:rsidRPr="00927C5C">
        <w:rPr>
          <w:b/>
          <w:bCs/>
        </w:rPr>
        <w:t xml:space="preserve">Scope 3 </w:t>
      </w:r>
      <w:r w:rsidR="00CC75BF">
        <w:t>–</w:t>
      </w:r>
      <w:r w:rsidRPr="00D42D3E">
        <w:t xml:space="preserve"> övriga</w:t>
      </w:r>
      <w:r w:rsidR="00CC75BF">
        <w:t xml:space="preserve"> </w:t>
      </w:r>
      <w:r w:rsidRPr="00D42D3E">
        <w:t>indirekta utsläpp som uppstår från bland annat inköpta resor och transporter eller från produktionen av inköpta varor och tjänster.</w:t>
      </w:r>
    </w:p>
    <w:p w14:paraId="702FE29D" w14:textId="77777777" w:rsidR="00C665FC" w:rsidRDefault="00C665FC" w:rsidP="00C665FC">
      <w:r w:rsidRPr="002741E4">
        <w:t xml:space="preserve">Klimatpåverkan beräknas </w:t>
      </w:r>
      <w:r w:rsidR="00272EC7">
        <w:t xml:space="preserve">och redovisas </w:t>
      </w:r>
      <w:r w:rsidRPr="002741E4">
        <w:t xml:space="preserve">i </w:t>
      </w:r>
      <w:r w:rsidR="00180245">
        <w:t>mängd</w:t>
      </w:r>
      <w:r w:rsidRPr="002741E4">
        <w:t xml:space="preserve"> koldioxidekvivalenter, där utsläpp från </w:t>
      </w:r>
      <w:r>
        <w:t>växthusgaserna</w:t>
      </w:r>
      <w:r w:rsidRPr="002741E4">
        <w:t xml:space="preserve"> </w:t>
      </w:r>
      <w:r>
        <w:t xml:space="preserve">koldioxid, </w:t>
      </w:r>
      <w:r w:rsidRPr="002741E4">
        <w:t>metan</w:t>
      </w:r>
      <w:r>
        <w:t xml:space="preserve">, </w:t>
      </w:r>
      <w:r w:rsidRPr="002741E4">
        <w:t>lustgas</w:t>
      </w:r>
      <w:r>
        <w:t>, flourerade kolväten, perflourkolväten och svavelhexaflourid</w:t>
      </w:r>
      <w:r w:rsidRPr="002741E4">
        <w:t xml:space="preserve"> ingår i beräkningarna. </w:t>
      </w:r>
      <w:r w:rsidR="00575495">
        <w:t xml:space="preserve">Dessutom ingår de medicinska gaserna </w:t>
      </w:r>
      <w:r w:rsidR="00575495" w:rsidRPr="007B2ED2">
        <w:t>sevofluran, isofluran och desfluran.</w:t>
      </w:r>
    </w:p>
    <w:p w14:paraId="78159FF6" w14:textId="77777777" w:rsidR="00C665FC" w:rsidRDefault="00C665FC" w:rsidP="00D42D3E"/>
    <w:p w14:paraId="70A6952E" w14:textId="77777777" w:rsidR="007F0027" w:rsidRDefault="00DC64C3" w:rsidP="007F0027">
      <w:pPr>
        <w:keepNext/>
      </w:pPr>
      <w:r>
        <w:rPr>
          <w:noProof/>
          <w:lang w:eastAsia="sv-SE"/>
        </w:rPr>
        <w:drawing>
          <wp:inline distT="0" distB="0" distL="0" distR="0" wp14:anchorId="142274D2" wp14:editId="3DBC278F">
            <wp:extent cx="5184775" cy="2209800"/>
            <wp:effectExtent l="19050" t="19050" r="15875" b="38100"/>
            <wp:docPr id="1" name="Diagram 1">
              <a:extLst xmlns:a="http://schemas.openxmlformats.org/drawingml/2006/main">
                <a:ext uri="{FF2B5EF4-FFF2-40B4-BE49-F238E27FC236}">
                  <a16:creationId xmlns:a16="http://schemas.microsoft.com/office/drawing/2014/main" id="{C13289E9-0D69-457F-AA4D-D4A01BFC993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1B5E672" w14:textId="7AC6417E" w:rsidR="00DC64C3" w:rsidRDefault="007F0027" w:rsidP="007F0027">
      <w:pPr>
        <w:pStyle w:val="Beskrivning"/>
      </w:pPr>
      <w:r>
        <w:t xml:space="preserve">Figur </w:t>
      </w:r>
      <w:r>
        <w:fldChar w:fldCharType="begin"/>
      </w:r>
      <w:r>
        <w:instrText>SEQ Figur \* ARABIC</w:instrText>
      </w:r>
      <w:r>
        <w:fldChar w:fldCharType="separate"/>
      </w:r>
      <w:r w:rsidR="00AC7310">
        <w:rPr>
          <w:noProof/>
        </w:rPr>
        <w:t>1</w:t>
      </w:r>
      <w:r>
        <w:fldChar w:fldCharType="end"/>
      </w:r>
      <w:r>
        <w:t xml:space="preserve"> Beskrivning av vad som beräknas i respektive scope.</w:t>
      </w:r>
    </w:p>
    <w:p w14:paraId="7A566A11" w14:textId="77777777" w:rsidR="00834F76" w:rsidRDefault="00834F76" w:rsidP="00834F76">
      <w:pPr>
        <w:keepNext/>
      </w:pPr>
      <w:r>
        <w:rPr>
          <w:noProof/>
          <w:lang w:eastAsia="sv-SE"/>
        </w:rPr>
        <w:drawing>
          <wp:inline distT="0" distB="0" distL="0" distR="0" wp14:anchorId="2706343F" wp14:editId="7D613810">
            <wp:extent cx="5760720" cy="3855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55720"/>
                    </a:xfrm>
                    <a:prstGeom prst="rect">
                      <a:avLst/>
                    </a:prstGeom>
                  </pic:spPr>
                </pic:pic>
              </a:graphicData>
            </a:graphic>
          </wp:inline>
        </w:drawing>
      </w:r>
    </w:p>
    <w:p w14:paraId="60301964" w14:textId="62E3FA11" w:rsidR="00B47A94" w:rsidRDefault="00834F76" w:rsidP="00350334">
      <w:pPr>
        <w:pStyle w:val="Beskrivning"/>
      </w:pPr>
      <w:r>
        <w:t xml:space="preserve">Figur </w:t>
      </w:r>
      <w:r>
        <w:fldChar w:fldCharType="begin"/>
      </w:r>
      <w:r>
        <w:instrText>SEQ Figur \* ARABIC</w:instrText>
      </w:r>
      <w:r>
        <w:fldChar w:fldCharType="separate"/>
      </w:r>
      <w:r w:rsidR="00AC7310">
        <w:rPr>
          <w:noProof/>
        </w:rPr>
        <w:t>2</w:t>
      </w:r>
      <w:r>
        <w:fldChar w:fldCharType="end"/>
      </w:r>
      <w:r>
        <w:t xml:space="preserve"> Beskrivning av samtliga utsläppskällor som beräknas enligt Greenhouse </w:t>
      </w:r>
      <w:r w:rsidR="009E02A3">
        <w:t>G</w:t>
      </w:r>
      <w:r>
        <w:t xml:space="preserve">as </w:t>
      </w:r>
      <w:r w:rsidR="009E02A3">
        <w:t>P</w:t>
      </w:r>
      <w:r w:rsidR="00D741F2">
        <w:t>r</w:t>
      </w:r>
      <w:r>
        <w:t>otocol.</w:t>
      </w:r>
    </w:p>
    <w:p w14:paraId="304AFE0D" w14:textId="77777777" w:rsidR="00E14ED5" w:rsidRPr="001836BC" w:rsidRDefault="00AE4DDD" w:rsidP="008A70A4">
      <w:pPr>
        <w:pStyle w:val="Rubrik2"/>
      </w:pPr>
      <w:bookmarkStart w:id="4" w:name="_Toc152920018"/>
      <w:r>
        <w:t xml:space="preserve">Operationell kontroll styr </w:t>
      </w:r>
      <w:r w:rsidR="00451952">
        <w:t>i vilket scope</w:t>
      </w:r>
      <w:r w:rsidR="007B2860">
        <w:t xml:space="preserve"> </w:t>
      </w:r>
      <w:r w:rsidR="00B446D5">
        <w:t xml:space="preserve">utsläppen ska </w:t>
      </w:r>
      <w:r w:rsidR="007B2860">
        <w:t>redovisas</w:t>
      </w:r>
      <w:bookmarkEnd w:id="4"/>
    </w:p>
    <w:p w14:paraId="480101B4" w14:textId="77777777" w:rsidR="004F60E4" w:rsidRDefault="004F60E4" w:rsidP="004F60E4">
      <w:r>
        <w:t xml:space="preserve">Fördelningen av utsläpp i olika scope beror också på vilken </w:t>
      </w:r>
      <w:r w:rsidR="00381443">
        <w:t>fördelnings</w:t>
      </w:r>
      <w:r>
        <w:t xml:space="preserve">ansats </w:t>
      </w:r>
      <w:r w:rsidR="0021245C">
        <w:t xml:space="preserve">enligt </w:t>
      </w:r>
      <w:r w:rsidR="00B446D5">
        <w:t>GHG Protocol</w:t>
      </w:r>
      <w:r w:rsidR="0021245C">
        <w:t xml:space="preserve"> </w:t>
      </w:r>
      <w:r>
        <w:t xml:space="preserve">som används. </w:t>
      </w:r>
      <w:r w:rsidR="00B058CE">
        <w:t>A</w:t>
      </w:r>
      <w:r>
        <w:t xml:space="preserve">nsatsen styr vilka utsläpp som ska ingå </w:t>
      </w:r>
      <w:r w:rsidR="00253701">
        <w:t xml:space="preserve">var </w:t>
      </w:r>
      <w:r>
        <w:t xml:space="preserve">i den rapporterande organisationens olika scope. De två </w:t>
      </w:r>
      <w:r w:rsidR="00B058CE">
        <w:t>fördelningsansatserna</w:t>
      </w:r>
      <w:r>
        <w:t xml:space="preserve"> som är tillämpbara är </w:t>
      </w:r>
      <w:r w:rsidRPr="00447B03">
        <w:rPr>
          <w:i/>
          <w:iCs/>
        </w:rPr>
        <w:t>finansiell kontroll</w:t>
      </w:r>
      <w:r>
        <w:t xml:space="preserve"> och </w:t>
      </w:r>
      <w:r w:rsidRPr="00447B03">
        <w:rPr>
          <w:i/>
          <w:iCs/>
        </w:rPr>
        <w:t>operationell kontroll</w:t>
      </w:r>
      <w:r>
        <w:t>. Dessa är kort beskrivna nedan</w:t>
      </w:r>
    </w:p>
    <w:tbl>
      <w:tblPr>
        <w:tblStyle w:val="Tabellrutnt"/>
        <w:tblW w:w="0" w:type="auto"/>
        <w:tblCellMar>
          <w:top w:w="85" w:type="dxa"/>
          <w:bottom w:w="85" w:type="dxa"/>
        </w:tblCellMar>
        <w:tblLook w:val="04A0" w:firstRow="1" w:lastRow="0" w:firstColumn="1" w:lastColumn="0" w:noHBand="0" w:noVBand="1"/>
      </w:tblPr>
      <w:tblGrid>
        <w:gridCol w:w="2830"/>
        <w:gridCol w:w="6232"/>
      </w:tblGrid>
      <w:tr w:rsidR="004F60E4" w14:paraId="3B509ACA" w14:textId="77777777" w:rsidTr="00A171DD">
        <w:tc>
          <w:tcPr>
            <w:tcW w:w="2830" w:type="dxa"/>
          </w:tcPr>
          <w:p w14:paraId="69AB2D15" w14:textId="77777777" w:rsidR="004F60E4" w:rsidRPr="00DA23F1" w:rsidRDefault="004F60E4" w:rsidP="004F60E4">
            <w:pPr>
              <w:rPr>
                <w:b/>
                <w:bCs/>
              </w:rPr>
            </w:pPr>
            <w:r w:rsidRPr="00DA23F1">
              <w:rPr>
                <w:b/>
                <w:bCs/>
              </w:rPr>
              <w:t>Finansiell kontroll</w:t>
            </w:r>
          </w:p>
        </w:tc>
        <w:tc>
          <w:tcPr>
            <w:tcW w:w="6232" w:type="dxa"/>
          </w:tcPr>
          <w:p w14:paraId="66ED5E89" w14:textId="77777777" w:rsidR="004F60E4" w:rsidRDefault="008461BF" w:rsidP="004F60E4">
            <w:r>
              <w:t>Utsläpp fördelas utifrån ägandeskap i juridisk mening.</w:t>
            </w:r>
          </w:p>
        </w:tc>
      </w:tr>
      <w:tr w:rsidR="004F60E4" w14:paraId="4A95F58E" w14:textId="77777777" w:rsidTr="00A171DD">
        <w:tc>
          <w:tcPr>
            <w:tcW w:w="2830" w:type="dxa"/>
          </w:tcPr>
          <w:p w14:paraId="1E4F1C3D" w14:textId="77777777" w:rsidR="004F60E4" w:rsidRPr="00DA23F1" w:rsidRDefault="004F60E4" w:rsidP="004F60E4">
            <w:pPr>
              <w:rPr>
                <w:b/>
                <w:bCs/>
              </w:rPr>
            </w:pPr>
            <w:r w:rsidRPr="00DA23F1">
              <w:rPr>
                <w:b/>
                <w:bCs/>
              </w:rPr>
              <w:t>Operationell kontroll</w:t>
            </w:r>
          </w:p>
        </w:tc>
        <w:tc>
          <w:tcPr>
            <w:tcW w:w="6232" w:type="dxa"/>
          </w:tcPr>
          <w:p w14:paraId="5BFB165E" w14:textId="77777777" w:rsidR="004F60E4" w:rsidRDefault="008461BF" w:rsidP="008461BF">
            <w:pPr>
              <w:keepNext/>
            </w:pPr>
            <w:r>
              <w:t xml:space="preserve">Utsläpp fördelas utifrån vem som släpper ut vid användandet. </w:t>
            </w:r>
          </w:p>
        </w:tc>
      </w:tr>
    </w:tbl>
    <w:p w14:paraId="75FA2784" w14:textId="42293087" w:rsidR="008461BF" w:rsidRDefault="008461BF">
      <w:pPr>
        <w:pStyle w:val="Beskrivning"/>
      </w:pPr>
      <w:r>
        <w:t xml:space="preserve">Figur </w:t>
      </w:r>
      <w:r>
        <w:fldChar w:fldCharType="begin"/>
      </w:r>
      <w:r>
        <w:instrText>SEQ Figur \* ARABIC</w:instrText>
      </w:r>
      <w:r>
        <w:fldChar w:fldCharType="separate"/>
      </w:r>
      <w:r w:rsidR="00AC7310">
        <w:rPr>
          <w:noProof/>
        </w:rPr>
        <w:t>3</w:t>
      </w:r>
      <w:r>
        <w:fldChar w:fldCharType="end"/>
      </w:r>
      <w:r>
        <w:t xml:space="preserve"> Beskrivning av kontrollansatserna finansiell kontroll och operationell kontroll.</w:t>
      </w:r>
    </w:p>
    <w:p w14:paraId="18CAF87A" w14:textId="77777777" w:rsidR="004F60E4" w:rsidRDefault="00864445" w:rsidP="004F60E4">
      <w:r>
        <w:t xml:space="preserve">I </w:t>
      </w:r>
      <w:r w:rsidR="00632A1C">
        <w:t>denna vägledning</w:t>
      </w:r>
      <w:r>
        <w:t xml:space="preserve"> </w:t>
      </w:r>
      <w:r w:rsidR="001836BC">
        <w:t xml:space="preserve">för regioner </w:t>
      </w:r>
      <w:r w:rsidR="003F59DC">
        <w:t xml:space="preserve">är ansatsen </w:t>
      </w:r>
      <w:r w:rsidR="008461BF" w:rsidRPr="008461BF">
        <w:rPr>
          <w:b/>
          <w:bCs/>
        </w:rPr>
        <w:t>operationell kontroll</w:t>
      </w:r>
      <w:r w:rsidR="008461BF">
        <w:t>.</w:t>
      </w:r>
      <w:r w:rsidR="007F4868">
        <w:t xml:space="preserve"> </w:t>
      </w:r>
      <w:r w:rsidR="0021245C">
        <w:t>Syftet är att även fånga upp områden där regionerna har en indirekt rådighet</w:t>
      </w:r>
      <w:r w:rsidR="003F59DC">
        <w:t xml:space="preserve"> och där </w:t>
      </w:r>
      <w:r w:rsidR="0021245C">
        <w:t>flera regioner g</w:t>
      </w:r>
      <w:r w:rsidR="001836BC">
        <w:t>ör</w:t>
      </w:r>
      <w:r w:rsidR="0021245C">
        <w:t xml:space="preserve"> insatser i sitt klimatarbete. </w:t>
      </w:r>
      <w:r w:rsidR="004F60E4">
        <w:t xml:space="preserve">Detta </w:t>
      </w:r>
      <w:r w:rsidR="00621F8D">
        <w:t>innebär</w:t>
      </w:r>
      <w:r w:rsidR="004F60E4">
        <w:t xml:space="preserve"> till exempel att alla bilresors direkta utsläpp ingår oavsett om det är </w:t>
      </w:r>
      <w:r w:rsidR="009E43F4">
        <w:t xml:space="preserve">Regionens </w:t>
      </w:r>
      <w:r w:rsidR="004F60E4">
        <w:t>egna bilar, personalens privatbilar i tjänst eller hyrbilar. Det innebär också att inköpt värme till hyrda lokaler redovisas.</w:t>
      </w:r>
    </w:p>
    <w:p w14:paraId="3DAB2E2C" w14:textId="77777777" w:rsidR="00B47A94" w:rsidRDefault="00B47A94">
      <w:pPr>
        <w:spacing w:line="259" w:lineRule="auto"/>
        <w:rPr>
          <w:sz w:val="28"/>
          <w:szCs w:val="28"/>
        </w:rPr>
      </w:pPr>
      <w:r>
        <w:br w:type="page"/>
      </w:r>
    </w:p>
    <w:p w14:paraId="6B171D42" w14:textId="77777777" w:rsidR="00E14ED5" w:rsidRDefault="00FE1D12" w:rsidP="008A70A4">
      <w:pPr>
        <w:pStyle w:val="Rubrik2"/>
      </w:pPr>
      <w:bookmarkStart w:id="5" w:name="_Toc152920019"/>
      <w:r>
        <w:t>B</w:t>
      </w:r>
      <w:r w:rsidR="002F3CA0">
        <w:t xml:space="preserve">eräkning av utsläpp från </w:t>
      </w:r>
      <w:r w:rsidR="00BD3AD3">
        <w:t>nätbaserad energi</w:t>
      </w:r>
      <w:bookmarkEnd w:id="5"/>
    </w:p>
    <w:p w14:paraId="70CA4D8E" w14:textId="77777777" w:rsidR="00796DB2" w:rsidRDefault="0005174F" w:rsidP="0005174F">
      <w:r>
        <w:t xml:space="preserve">Enligt Greenhouse Gas Protocols vägledning för scope 2 ska </w:t>
      </w:r>
      <w:r w:rsidR="00D067AB">
        <w:t>elanvändning</w:t>
      </w:r>
      <w:r>
        <w:t xml:space="preserve">ens utsläpp redovisas enligt två olika metoder, </w:t>
      </w:r>
      <w:r w:rsidRPr="007B332C">
        <w:rPr>
          <w:i/>
        </w:rPr>
        <w:t>market-based</w:t>
      </w:r>
      <w:r>
        <w:t xml:space="preserve"> och </w:t>
      </w:r>
      <w:r w:rsidRPr="007B332C">
        <w:rPr>
          <w:i/>
        </w:rPr>
        <w:t>location-based</w:t>
      </w:r>
      <w:r>
        <w:t xml:space="preserve">.  </w:t>
      </w:r>
    </w:p>
    <w:tbl>
      <w:tblPr>
        <w:tblStyle w:val="Tabellrutnt"/>
        <w:tblW w:w="0" w:type="auto"/>
        <w:tblCellMar>
          <w:top w:w="57" w:type="dxa"/>
          <w:bottom w:w="57" w:type="dxa"/>
        </w:tblCellMar>
        <w:tblLook w:val="04A0" w:firstRow="1" w:lastRow="0" w:firstColumn="1" w:lastColumn="0" w:noHBand="0" w:noVBand="1"/>
      </w:tblPr>
      <w:tblGrid>
        <w:gridCol w:w="2830"/>
        <w:gridCol w:w="6232"/>
      </w:tblGrid>
      <w:tr w:rsidR="003F59DC" w14:paraId="52D461B1" w14:textId="77777777" w:rsidTr="00E35D56">
        <w:tc>
          <w:tcPr>
            <w:tcW w:w="2830" w:type="dxa"/>
          </w:tcPr>
          <w:p w14:paraId="1C0E4609" w14:textId="77777777" w:rsidR="003F59DC" w:rsidRPr="00DA23F1" w:rsidRDefault="003F59DC" w:rsidP="00911D0A">
            <w:pPr>
              <w:rPr>
                <w:b/>
                <w:bCs/>
              </w:rPr>
            </w:pPr>
            <w:r>
              <w:rPr>
                <w:b/>
              </w:rPr>
              <w:t>M</w:t>
            </w:r>
            <w:r w:rsidRPr="00432357">
              <w:rPr>
                <w:b/>
              </w:rPr>
              <w:t>arket-based</w:t>
            </w:r>
            <w:r>
              <w:t xml:space="preserve"> </w:t>
            </w:r>
            <w:r w:rsidRPr="00432357">
              <w:rPr>
                <w:b/>
              </w:rPr>
              <w:t>method</w:t>
            </w:r>
          </w:p>
        </w:tc>
        <w:tc>
          <w:tcPr>
            <w:tcW w:w="6232" w:type="dxa"/>
          </w:tcPr>
          <w:p w14:paraId="6AA18E13" w14:textId="77777777" w:rsidR="003F59DC" w:rsidRDefault="003F59DC" w:rsidP="00E53EBC">
            <w:r>
              <w:t>tar hänsyn till ursprungsmärkt</w:t>
            </w:r>
            <w:r w:rsidR="002B378D">
              <w:t xml:space="preserve"> el</w:t>
            </w:r>
          </w:p>
        </w:tc>
      </w:tr>
      <w:tr w:rsidR="003F59DC" w14:paraId="74056AD4" w14:textId="77777777" w:rsidTr="00E35D56">
        <w:tc>
          <w:tcPr>
            <w:tcW w:w="2830" w:type="dxa"/>
          </w:tcPr>
          <w:p w14:paraId="38B4A7A1" w14:textId="77777777" w:rsidR="003F59DC" w:rsidRPr="00DA23F1" w:rsidRDefault="003F59DC" w:rsidP="00911D0A">
            <w:pPr>
              <w:rPr>
                <w:b/>
                <w:bCs/>
              </w:rPr>
            </w:pPr>
            <w:r>
              <w:rPr>
                <w:b/>
              </w:rPr>
              <w:t>L</w:t>
            </w:r>
            <w:r w:rsidRPr="00432357">
              <w:rPr>
                <w:b/>
              </w:rPr>
              <w:t>ocation-based method</w:t>
            </w:r>
          </w:p>
        </w:tc>
        <w:tc>
          <w:tcPr>
            <w:tcW w:w="6232" w:type="dxa"/>
          </w:tcPr>
          <w:p w14:paraId="058FADA6" w14:textId="77777777" w:rsidR="003F59DC" w:rsidRDefault="003F59DC" w:rsidP="00E53EBC">
            <w:pPr>
              <w:keepNext/>
            </w:pPr>
            <w:r>
              <w:t xml:space="preserve">utgår från genomsnittlig mix i nätet. För verksamheter i Sverige </w:t>
            </w:r>
            <w:r w:rsidR="002F3CA0">
              <w:t>används exempelvis</w:t>
            </w:r>
            <w:r>
              <w:t xml:space="preserve"> den nordiska elmixen (inklusive import/export)</w:t>
            </w:r>
          </w:p>
        </w:tc>
      </w:tr>
    </w:tbl>
    <w:p w14:paraId="0EE049B2" w14:textId="77777777" w:rsidR="003F59DC" w:rsidRDefault="003F59DC" w:rsidP="003F59DC">
      <w:pPr>
        <w:pStyle w:val="Beskrivning"/>
      </w:pPr>
      <w:r>
        <w:t>Figur 4 Beskrivning av de två redovisningsmetoderna för elanvändning.</w:t>
      </w:r>
    </w:p>
    <w:p w14:paraId="4D77DCBF" w14:textId="77777777" w:rsidR="0005174F" w:rsidRDefault="00C66F22" w:rsidP="0005174F">
      <w:r>
        <w:t>Även om utsläppen ska beräknas enligt båda metoderna ska en</w:t>
      </w:r>
      <w:r w:rsidR="00C2372D">
        <w:t xml:space="preserve"> av dem </w:t>
      </w:r>
      <w:r w:rsidR="001147A1">
        <w:t xml:space="preserve">väljas som </w:t>
      </w:r>
      <w:r w:rsidR="00154D35">
        <w:t xml:space="preserve">huvudmetod vid redovisning. </w:t>
      </w:r>
      <w:r w:rsidR="00426E5F">
        <w:t>Även om många regioner idag tillämpar marke</w:t>
      </w:r>
      <w:r w:rsidR="00D93741">
        <w:t>t-</w:t>
      </w:r>
      <w:r w:rsidR="00426E5F">
        <w:t>based met</w:t>
      </w:r>
      <w:r w:rsidR="00751DC5">
        <w:t>h</w:t>
      </w:r>
      <w:r w:rsidR="00426E5F">
        <w:t xml:space="preserve">od </w:t>
      </w:r>
      <w:r w:rsidR="003F59DC">
        <w:t>är huvudmetoden i denna vägledning</w:t>
      </w:r>
      <w:r w:rsidR="00B75277">
        <w:t>,</w:t>
      </w:r>
      <w:r w:rsidR="003F59DC">
        <w:t xml:space="preserve"> och </w:t>
      </w:r>
      <w:r w:rsidR="00B75277">
        <w:t xml:space="preserve">i </w:t>
      </w:r>
      <w:r w:rsidR="003F59DC">
        <w:t>verktyg</w:t>
      </w:r>
      <w:r w:rsidR="00B75277">
        <w:t>et,</w:t>
      </w:r>
      <w:r w:rsidR="003F59DC">
        <w:t xml:space="preserve"> </w:t>
      </w:r>
      <w:r w:rsidR="00426E5F" w:rsidRPr="005F6147">
        <w:rPr>
          <w:b/>
        </w:rPr>
        <w:t>location-based method</w:t>
      </w:r>
      <w:r w:rsidR="00426E5F">
        <w:t>.</w:t>
      </w:r>
      <w:r w:rsidR="003F59DC">
        <w:t xml:space="preserve"> </w:t>
      </w:r>
    </w:p>
    <w:p w14:paraId="0A5C763D" w14:textId="77777777" w:rsidR="003A7249" w:rsidRDefault="003A7249" w:rsidP="003A7249">
      <w:r>
        <w:t>Motivet till de</w:t>
      </w:r>
      <w:r w:rsidR="0021245C">
        <w:t>tta val</w:t>
      </w:r>
      <w:r>
        <w:t xml:space="preserve"> är att ursprungsmär</w:t>
      </w:r>
      <w:r w:rsidR="005F6147">
        <w:t>k</w:t>
      </w:r>
      <w:r w:rsidR="001836BC">
        <w:t>t</w:t>
      </w:r>
      <w:r>
        <w:t xml:space="preserve"> el </w:t>
      </w:r>
      <w:r w:rsidR="001836BC">
        <w:t xml:space="preserve">visserligen har </w:t>
      </w:r>
      <w:r>
        <w:t xml:space="preserve">ett positivt signalvärde men </w:t>
      </w:r>
      <w:r w:rsidR="001836BC">
        <w:t xml:space="preserve">samtidigt </w:t>
      </w:r>
      <w:r>
        <w:t xml:space="preserve">har ytterst marginell betydelse för omställningen av energisystemet, jämfört med andra styrmedel som koldioxidskatt, </w:t>
      </w:r>
      <w:r w:rsidR="0021245C">
        <w:t>utsläppsrät</w:t>
      </w:r>
      <w:r w:rsidR="00911D0A">
        <w:t>t</w:t>
      </w:r>
      <w:r w:rsidR="0021245C">
        <w:t xml:space="preserve">er och </w:t>
      </w:r>
      <w:r>
        <w:t xml:space="preserve">gröna </w:t>
      </w:r>
      <w:r w:rsidR="0021245C">
        <w:t>el</w:t>
      </w:r>
      <w:r>
        <w:t xml:space="preserve">certifikat. </w:t>
      </w:r>
      <w:r w:rsidR="0021245C">
        <w:t xml:space="preserve">Ursprungsmärkning </w:t>
      </w:r>
      <w:r>
        <w:t xml:space="preserve">säkerställer </w:t>
      </w:r>
      <w:r w:rsidR="00531134">
        <w:t xml:space="preserve">idag </w:t>
      </w:r>
      <w:r>
        <w:t>inte någon additionalitet</w:t>
      </w:r>
      <w:r w:rsidR="00531134">
        <w:t xml:space="preserve">. Det </w:t>
      </w:r>
      <w:r w:rsidR="001C0624">
        <w:t>innebär</w:t>
      </w:r>
      <w:r>
        <w:t xml:space="preserve"> att köpet </w:t>
      </w:r>
      <w:r w:rsidR="001C0624">
        <w:t xml:space="preserve">inte </w:t>
      </w:r>
      <w:r>
        <w:t xml:space="preserve">skapar tillkommande förnybar energi, utan </w:t>
      </w:r>
      <w:r w:rsidR="001C0624">
        <w:t>i huvudsak innebär</w:t>
      </w:r>
      <w:r>
        <w:t xml:space="preserve"> en allokering </w:t>
      </w:r>
      <w:r w:rsidR="001C0624">
        <w:t xml:space="preserve">av ursprungsmärkt energi </w:t>
      </w:r>
      <w:r>
        <w:t xml:space="preserve">på pappret. Det finns </w:t>
      </w:r>
      <w:r w:rsidR="001C0624">
        <w:t xml:space="preserve">idag </w:t>
      </w:r>
      <w:r>
        <w:t>ett</w:t>
      </w:r>
      <w:r w:rsidR="001C0624">
        <w:t xml:space="preserve"> </w:t>
      </w:r>
      <w:r>
        <w:t xml:space="preserve">överskott av ursprungsgarantier på EU-nivå. </w:t>
      </w:r>
    </w:p>
    <w:p w14:paraId="1830B663" w14:textId="77777777" w:rsidR="00614333" w:rsidRDefault="003A7249" w:rsidP="0005174F">
      <w:r>
        <w:t>Att använda ursprungsmärkning riskerar också att osynliggöra värdet av energieffektivisering</w:t>
      </w:r>
      <w:r w:rsidR="001C0624">
        <w:t xml:space="preserve"> eftersom </w:t>
      </w:r>
      <w:r w:rsidR="00190EA8">
        <w:t>utsläppsvolymerna blir så låga</w:t>
      </w:r>
      <w:r>
        <w:t xml:space="preserve">. </w:t>
      </w:r>
    </w:p>
    <w:p w14:paraId="1FD1BE99" w14:textId="77777777" w:rsidR="003033EE" w:rsidRPr="00302877" w:rsidRDefault="003A7249" w:rsidP="0005174F">
      <w:r>
        <w:t xml:space="preserve">Ursprungsmärkning tillämpas heller inte för el i exempelvis Boverkets arbete med </w:t>
      </w:r>
      <w:r w:rsidRPr="00302877">
        <w:t xml:space="preserve">klimatdeklarationer, det nordiska ramverket för gröna obligationer eller i Byggföretagens vägledning för klimatredovisning. </w:t>
      </w:r>
    </w:p>
    <w:p w14:paraId="4C89A3C3" w14:textId="77777777" w:rsidR="001F3BBB" w:rsidRDefault="002F7197" w:rsidP="0005174F">
      <w:r w:rsidRPr="00302877">
        <w:t xml:space="preserve">Även om det inte tillämpas som huvudmetod i denna redovisning ses dock köp av ursprungsmärkt el från förnybara energikällor av flertalet intressenter som en </w:t>
      </w:r>
      <w:r w:rsidR="008E3A84" w:rsidRPr="00302877">
        <w:t>relevant insats</w:t>
      </w:r>
      <w:r w:rsidRPr="00302877">
        <w:t xml:space="preserve">, utifrån sitt ursprungliga syfte att stimulera ny förnybar energiproduktion. </w:t>
      </w:r>
      <w:r w:rsidR="00F303EF" w:rsidRPr="00302877">
        <w:t xml:space="preserve"> </w:t>
      </w:r>
    </w:p>
    <w:p w14:paraId="575C41CF" w14:textId="77777777" w:rsidR="003033EE" w:rsidRPr="003033EE" w:rsidRDefault="003033EE" w:rsidP="0005174F">
      <w:pPr>
        <w:rPr>
          <w:b/>
          <w:bCs/>
        </w:rPr>
      </w:pPr>
      <w:r w:rsidRPr="003033EE">
        <w:rPr>
          <w:b/>
          <w:bCs/>
        </w:rPr>
        <w:t>Läs mer</w:t>
      </w:r>
    </w:p>
    <w:p w14:paraId="09559777" w14:textId="77777777" w:rsidR="00911D0A" w:rsidRPr="00911D0A" w:rsidRDefault="00911D0A" w:rsidP="0005174F">
      <w:pPr>
        <w:rPr>
          <w:rStyle w:val="Hyperlnk"/>
          <w:highlight w:val="yellow"/>
        </w:rPr>
      </w:pPr>
      <w:r>
        <w:fldChar w:fldCharType="begin"/>
      </w:r>
      <w:r>
        <w:instrText xml:space="preserve"> HYPERLINK "https://skr.se/skr/tjanster/rapporterochskrifter/publikationer/klimatkonsekvenseravolikaenergilosningar.27640.html" </w:instrText>
      </w:r>
      <w:r>
        <w:fldChar w:fldCharType="separate"/>
      </w:r>
      <w:r w:rsidR="003033EE" w:rsidRPr="00911D0A">
        <w:rPr>
          <w:rStyle w:val="Hyperlnk"/>
        </w:rPr>
        <w:t>SK</w:t>
      </w:r>
      <w:r w:rsidR="0021245C" w:rsidRPr="00911D0A">
        <w:rPr>
          <w:rStyle w:val="Hyperlnk"/>
        </w:rPr>
        <w:t>R</w:t>
      </w:r>
      <w:r w:rsidR="003033EE" w:rsidRPr="00911D0A">
        <w:rPr>
          <w:rStyle w:val="Hyperlnk"/>
        </w:rPr>
        <w:t>:s rap</w:t>
      </w:r>
      <w:bookmarkStart w:id="6" w:name="_Hlt92864659"/>
      <w:bookmarkStart w:id="7" w:name="_Hlt92864660"/>
      <w:r w:rsidR="003033EE" w:rsidRPr="00911D0A">
        <w:rPr>
          <w:rStyle w:val="Hyperlnk"/>
        </w:rPr>
        <w:t>p</w:t>
      </w:r>
      <w:bookmarkEnd w:id="6"/>
      <w:bookmarkEnd w:id="7"/>
      <w:r w:rsidR="003033EE" w:rsidRPr="00911D0A">
        <w:rPr>
          <w:rStyle w:val="Hyperlnk"/>
        </w:rPr>
        <w:t xml:space="preserve">ort om </w:t>
      </w:r>
      <w:r w:rsidR="00C82FEC" w:rsidRPr="00911D0A">
        <w:rPr>
          <w:rStyle w:val="Hyperlnk"/>
        </w:rPr>
        <w:t>Klimatkonsekvenser av olik</w:t>
      </w:r>
      <w:bookmarkStart w:id="8" w:name="_Hlt92864669"/>
      <w:bookmarkStart w:id="9" w:name="_Hlt92864670"/>
      <w:r w:rsidR="00C82FEC" w:rsidRPr="00911D0A">
        <w:rPr>
          <w:rStyle w:val="Hyperlnk"/>
        </w:rPr>
        <w:t>a</w:t>
      </w:r>
      <w:bookmarkEnd w:id="8"/>
      <w:bookmarkEnd w:id="9"/>
      <w:r w:rsidR="00C82FEC" w:rsidRPr="00911D0A">
        <w:rPr>
          <w:rStyle w:val="Hyperlnk"/>
        </w:rPr>
        <w:t xml:space="preserve"> energilösningar</w:t>
      </w:r>
    </w:p>
    <w:p w14:paraId="33A06DF9" w14:textId="77777777" w:rsidR="0005174F" w:rsidRPr="0005174F" w:rsidRDefault="00911D0A" w:rsidP="0005174F">
      <w:r>
        <w:fldChar w:fldCharType="end"/>
      </w:r>
    </w:p>
    <w:p w14:paraId="2CA7B6B6" w14:textId="77777777" w:rsidR="00E14ED5" w:rsidRDefault="00E14ED5" w:rsidP="008A70A4">
      <w:pPr>
        <w:pStyle w:val="Rubrik2"/>
        <w:rPr>
          <w:rStyle w:val="Rubrik2Char"/>
        </w:rPr>
      </w:pPr>
      <w:bookmarkStart w:id="10" w:name="_Toc152920020"/>
      <w:r w:rsidRPr="002B7BAC">
        <w:t>U</w:t>
      </w:r>
      <w:r w:rsidRPr="002B7BAC">
        <w:rPr>
          <w:rStyle w:val="Rubrik2Char"/>
        </w:rPr>
        <w:t>tsläppsfaktorer</w:t>
      </w:r>
      <w:bookmarkEnd w:id="10"/>
    </w:p>
    <w:p w14:paraId="39192202" w14:textId="77777777" w:rsidR="00DA23F1" w:rsidRDefault="00D90FD2" w:rsidP="001107F2">
      <w:r>
        <w:t>I det beräkningsverktyg som tagits fram finns ett stort antal</w:t>
      </w:r>
      <w:r w:rsidR="00D654CE">
        <w:t xml:space="preserve"> förordade</w:t>
      </w:r>
      <w:r>
        <w:t xml:space="preserve"> utsläppsfaktorer som kan tillämpas vid klimatberäkningarna. </w:t>
      </w:r>
      <w:r w:rsidR="001107F2">
        <w:t xml:space="preserve">Med utgångspunkt från de rekommendationer som ges i detta dokument kan regionen </w:t>
      </w:r>
      <w:r w:rsidR="001836BC">
        <w:t xml:space="preserve">också </w:t>
      </w:r>
      <w:r w:rsidR="001107F2">
        <w:t>göra egna beräkningar</w:t>
      </w:r>
      <w:r w:rsidR="001836BC">
        <w:t xml:space="preserve"> eller </w:t>
      </w:r>
      <w:r w:rsidR="001107F2">
        <w:t xml:space="preserve">anlita konsult. </w:t>
      </w:r>
      <w:r w:rsidR="001107F2" w:rsidRPr="001107F2">
        <w:t xml:space="preserve">I beräkningsverktyget </w:t>
      </w:r>
      <w:r w:rsidR="0081281D">
        <w:t>återfinns</w:t>
      </w:r>
      <w:r w:rsidR="001107F2" w:rsidRPr="001107F2">
        <w:t xml:space="preserve"> de </w:t>
      </w:r>
      <w:r w:rsidR="001107F2">
        <w:t>utsläpp</w:t>
      </w:r>
      <w:r w:rsidR="001107F2" w:rsidRPr="001107F2">
        <w:t xml:space="preserve">sfaktorer som </w:t>
      </w:r>
      <w:r w:rsidR="008B6523">
        <w:t>regionen föreslås att använda</w:t>
      </w:r>
      <w:r w:rsidR="001107F2" w:rsidRPr="001107F2">
        <w:t xml:space="preserve"> inom ramen för denna vägledning.</w:t>
      </w:r>
      <w:r w:rsidR="00911D0A">
        <w:t xml:space="preserve"> </w:t>
      </w:r>
      <w:r w:rsidR="00276754">
        <w:t xml:space="preserve">På samma plats återfinns också tydliga referenser till respektive </w:t>
      </w:r>
      <w:r w:rsidR="0032286A">
        <w:t xml:space="preserve">utsläppsfaktors källa. </w:t>
      </w:r>
    </w:p>
    <w:p w14:paraId="143A81EB" w14:textId="77777777" w:rsidR="004257F3" w:rsidRDefault="004257F3" w:rsidP="004257F3">
      <w:r>
        <w:t>Nya utsläppsfaktorer kan tillkomma i regionernas fortsatta framtagande av livscykeldata för prioriterade produkter, som har fokus på förbrukningsartiklar i vården.</w:t>
      </w:r>
    </w:p>
    <w:p w14:paraId="2396CA06" w14:textId="77777777" w:rsidR="00F875C8" w:rsidRDefault="0078364B" w:rsidP="0081281D">
      <w:r>
        <w:t xml:space="preserve">I vissa fall kan </w:t>
      </w:r>
      <w:r w:rsidR="008D4413">
        <w:t>r</w:t>
      </w:r>
      <w:r w:rsidR="00F875C8">
        <w:t xml:space="preserve">egionen ha </w:t>
      </w:r>
      <w:r w:rsidR="0081281D">
        <w:t xml:space="preserve">tillgång till </w:t>
      </w:r>
      <w:r w:rsidR="00F875C8">
        <w:t xml:space="preserve">en </w:t>
      </w:r>
      <w:r w:rsidR="0081281D">
        <w:t xml:space="preserve">egen </w:t>
      </w:r>
      <w:r w:rsidR="00F875C8">
        <w:t>mer specifik utsläppsfaktor</w:t>
      </w:r>
      <w:r w:rsidR="00C83B15">
        <w:t xml:space="preserve"> än som finns i verktyget</w:t>
      </w:r>
      <w:r>
        <w:t>, exempelvis om en sådan tillhandahålls av leverantören</w:t>
      </w:r>
      <w:r w:rsidR="0081281D">
        <w:t>.</w:t>
      </w:r>
      <w:r w:rsidR="002956C8">
        <w:t xml:space="preserve"> </w:t>
      </w:r>
      <w:r w:rsidR="00A8695D">
        <w:t xml:space="preserve">Då </w:t>
      </w:r>
      <w:r>
        <w:t xml:space="preserve">kan regionen beräkna utsläppen </w:t>
      </w:r>
      <w:r w:rsidR="00A8695D">
        <w:t xml:space="preserve">med den specifika utsläppsfaktorn </w:t>
      </w:r>
      <w:r>
        <w:t>separat och lägga in resultatet från beräkningen i verktyget.</w:t>
      </w:r>
      <w:r w:rsidR="00444614">
        <w:t xml:space="preserve"> Om en mer specifik utsläppsfaktor finns tillgänglig bör denna användas.</w:t>
      </w:r>
    </w:p>
    <w:p w14:paraId="6AD0FDC0" w14:textId="77777777" w:rsidR="00AD36DE" w:rsidRPr="001107F2" w:rsidRDefault="000E0AB3" w:rsidP="00AD36DE">
      <w:r>
        <w:t xml:space="preserve">När regionen själv tar fram en utsläppsfaktor bör denna vara så </w:t>
      </w:r>
      <w:r w:rsidR="00B14E3D">
        <w:t>anpassad som möjligt</w:t>
      </w:r>
      <w:r w:rsidR="00AB2C1C">
        <w:t xml:space="preserve"> </w:t>
      </w:r>
      <w:r w:rsidR="00B14E3D">
        <w:t xml:space="preserve">till regionens aktiviteter. </w:t>
      </w:r>
      <w:r w:rsidR="00AB2C1C">
        <w:t>De</w:t>
      </w:r>
      <w:r w:rsidR="007C1F12">
        <w:t xml:space="preserve">tta för att de ska spegla de verkliga utsläppen </w:t>
      </w:r>
      <w:r w:rsidR="00E3234C">
        <w:t xml:space="preserve">i så stor utsträckning som möjligt. </w:t>
      </w:r>
      <w:r w:rsidR="000A6F28">
        <w:t xml:space="preserve">Det kan </w:t>
      </w:r>
      <w:r w:rsidR="00B4700B">
        <w:t>till exempel</w:t>
      </w:r>
      <w:r w:rsidR="000A6F28">
        <w:t xml:space="preserve"> gälla en egen köpt fjärrvärmemix, eller köp av produkter med </w:t>
      </w:r>
      <w:r w:rsidR="008D4413">
        <w:t xml:space="preserve">tillhörande dokumentation av </w:t>
      </w:r>
      <w:r w:rsidR="000A6F28">
        <w:t>livscykelutsläpp</w:t>
      </w:r>
      <w:r w:rsidR="008D4413">
        <w:t>.</w:t>
      </w:r>
      <w:r w:rsidR="000A6F28">
        <w:t xml:space="preserve"> </w:t>
      </w:r>
      <w:r w:rsidR="00E3234C">
        <w:t xml:space="preserve">Information om sådana specifika utsläppsfaktorer kan fås från leverantörer. </w:t>
      </w:r>
      <w:r w:rsidR="000173C5">
        <w:t>Egna framtagna utsläppsfaktorer bör även i sin helhet följa de ovan nämnda fem principerna för GHG Protocol.</w:t>
      </w:r>
    </w:p>
    <w:p w14:paraId="65A91AD5" w14:textId="744C8198" w:rsidR="00D111CF" w:rsidRPr="00F87BC4" w:rsidRDefault="0099389E" w:rsidP="00F87BC4">
      <w:pPr>
        <w:pStyle w:val="Rubrik3"/>
      </w:pPr>
      <w:bookmarkStart w:id="11" w:name="_Toc152920021"/>
      <w:r w:rsidRPr="00F87BC4">
        <w:t>Olika avgränsning</w:t>
      </w:r>
      <w:r w:rsidR="00D111CF" w:rsidRPr="00F87BC4">
        <w:t xml:space="preserve"> för utsläppsfaktorer </w:t>
      </w:r>
      <w:r w:rsidRPr="00F87BC4">
        <w:t>för</w:t>
      </w:r>
      <w:r w:rsidR="00D111CF" w:rsidRPr="00F87BC4">
        <w:t xml:space="preserve"> biodrivmedel och elektricitet</w:t>
      </w:r>
      <w:bookmarkEnd w:id="11"/>
    </w:p>
    <w:p w14:paraId="6EA3AA14" w14:textId="6344EC46" w:rsidR="00B47A94" w:rsidRDefault="0099389E" w:rsidP="00F87BC4">
      <w:r w:rsidRPr="00F87BC4">
        <w:t xml:space="preserve">Verktygets emissionsfaktorer för </w:t>
      </w:r>
      <w:r w:rsidR="00292241" w:rsidRPr="00F87BC4">
        <w:t xml:space="preserve">biodrivmedel </w:t>
      </w:r>
      <w:r w:rsidRPr="00F87BC4">
        <w:t xml:space="preserve">utgår </w:t>
      </w:r>
      <w:r w:rsidR="005B71A8" w:rsidRPr="00F87BC4">
        <w:t xml:space="preserve">från Energimyndighetens </w:t>
      </w:r>
      <w:r w:rsidR="00CF2E92" w:rsidRPr="00F87BC4">
        <w:t>underlag</w:t>
      </w:r>
      <w:r w:rsidR="0042343A">
        <w:t>*</w:t>
      </w:r>
      <w:r w:rsidR="00CF2E92" w:rsidRPr="00F87BC4">
        <w:t>. Omfattning och avgränsning för dessa styrs av</w:t>
      </w:r>
      <w:r w:rsidR="005F6CED" w:rsidRPr="00F87BC4">
        <w:t xml:space="preserve"> ”</w:t>
      </w:r>
      <w:r w:rsidR="005F6CED" w:rsidRPr="00F87BC4">
        <w:rPr>
          <w:i/>
          <w:iCs/>
        </w:rPr>
        <w:t>STEMFS 2021:7, Statens energimyndighets föreskrifter om hållbarhetskriterier för biodrivmedel och biobränslen”.</w:t>
      </w:r>
      <w:r w:rsidR="005F6CED" w:rsidRPr="00F87BC4">
        <w:t xml:space="preserve"> </w:t>
      </w:r>
      <w:r w:rsidRPr="00F87BC4">
        <w:t>U</w:t>
      </w:r>
      <w:r w:rsidR="00C650D4" w:rsidRPr="00F87BC4">
        <w:t>tsläpp från tillverkning</w:t>
      </w:r>
      <w:r w:rsidR="007934B8" w:rsidRPr="00F87BC4">
        <w:t xml:space="preserve"> av maskiner och utrustning </w:t>
      </w:r>
      <w:r w:rsidRPr="00F87BC4">
        <w:t>inkluderas inte i de</w:t>
      </w:r>
      <w:r w:rsidR="007934B8" w:rsidRPr="00F87BC4">
        <w:t xml:space="preserve"> emissionsfaktorerna. </w:t>
      </w:r>
      <w:r w:rsidR="00095C7D" w:rsidRPr="00F87BC4">
        <w:t>För utsläpp från</w:t>
      </w:r>
      <w:r w:rsidR="00A14E8D" w:rsidRPr="00F87BC4">
        <w:t xml:space="preserve"> inköpt el, både ursprungsmärkt el och den </w:t>
      </w:r>
      <w:r w:rsidR="002C2B94" w:rsidRPr="00F87BC4">
        <w:t xml:space="preserve">nordiska medelmixen som verktyget använder, inkluderas </w:t>
      </w:r>
      <w:r w:rsidRPr="00F87BC4">
        <w:t xml:space="preserve">dock </w:t>
      </w:r>
      <w:r w:rsidR="002C2B94" w:rsidRPr="00F87BC4">
        <w:t xml:space="preserve">utsläpp från byggnation och reinvesteringar i emissionsfaktorerna. Därmed </w:t>
      </w:r>
      <w:r w:rsidRPr="00F87BC4">
        <w:t xml:space="preserve">är </w:t>
      </w:r>
      <w:r w:rsidR="002C2B94" w:rsidRPr="00F87BC4">
        <w:t>jämförelse</w:t>
      </w:r>
      <w:r w:rsidRPr="00F87BC4">
        <w:t>r</w:t>
      </w:r>
      <w:r w:rsidR="002C2B94" w:rsidRPr="00F87BC4">
        <w:t xml:space="preserve"> mellan dessa olika </w:t>
      </w:r>
      <w:r w:rsidR="008F6B11" w:rsidRPr="00F87BC4">
        <w:t>utsläpp inte helt jämförbar</w:t>
      </w:r>
      <w:r w:rsidRPr="00F87BC4">
        <w:t>a</w:t>
      </w:r>
      <w:r w:rsidR="008F6B11" w:rsidRPr="00F87BC4">
        <w:t xml:space="preserve">. </w:t>
      </w:r>
    </w:p>
    <w:p w14:paraId="15441C8C" w14:textId="01E02F86" w:rsidR="006B3B6D" w:rsidRDefault="0042343A" w:rsidP="00F87BC4">
      <w:r w:rsidRPr="00D24B0C">
        <w:t>*</w:t>
      </w:r>
      <w:commentRangeStart w:id="12"/>
      <w:r w:rsidR="00DF2A55" w:rsidRPr="002D40CF">
        <w:t xml:space="preserve">Sedan </w:t>
      </w:r>
      <w:commentRangeEnd w:id="12"/>
      <w:r w:rsidR="00E603E8">
        <w:rPr>
          <w:rStyle w:val="Kommentarsreferens"/>
        </w:rPr>
        <w:commentReference w:id="12"/>
      </w:r>
      <w:r w:rsidR="00DF2A55" w:rsidRPr="002D40CF">
        <w:t xml:space="preserve">17 augusti 2021 räknar Energimyndigheten in en klimatbonus på -45 gCO2e/MJ för biogas från gödsel. Trots att det kan finnas en anledning att lyfta klimatnyttan så </w:t>
      </w:r>
      <w:r w:rsidR="000715E0">
        <w:t>ses</w:t>
      </w:r>
      <w:r w:rsidR="00DF2A55" w:rsidRPr="002D40CF">
        <w:t xml:space="preserve"> inte detta </w:t>
      </w:r>
      <w:r w:rsidR="000715E0">
        <w:t>som</w:t>
      </w:r>
      <w:r w:rsidR="00DF2A55" w:rsidRPr="002D40CF">
        <w:t xml:space="preserve"> förenligt med GHG Protocol.</w:t>
      </w:r>
      <w:r w:rsidR="00D24B0C" w:rsidRPr="002D40CF">
        <w:t xml:space="preserve"> Samma resonemang skulle i sådana fall kunna användas för avfallsförbränning där man säger att </w:t>
      </w:r>
      <w:r w:rsidR="005430D0">
        <w:t>man minskar</w:t>
      </w:r>
      <w:r w:rsidR="00D24B0C" w:rsidRPr="002D40CF">
        <w:t xml:space="preserve"> metanutsläpp från deponering av avfall. Med anledning av detta behöver vi räkna om utsläppsfaktorn för biogas och fordonsgas för åren 2021 och 2022, vilka är de som har använts eller skulle ha använts för klimatberäkningar för år 2022 och 2023.</w:t>
      </w:r>
      <w:r w:rsidR="002D40CF" w:rsidRPr="002D40CF">
        <w:t xml:space="preserve"> </w:t>
      </w:r>
      <w:r w:rsidR="006568BC">
        <w:t>Nya faktorer redovisas nedan.</w:t>
      </w:r>
    </w:p>
    <w:tbl>
      <w:tblPr>
        <w:tblStyle w:val="Rutntstabell4dekorfrg1"/>
        <w:tblW w:w="0" w:type="auto"/>
        <w:tblLook w:val="04A0" w:firstRow="1" w:lastRow="0" w:firstColumn="1" w:lastColumn="0" w:noHBand="0" w:noVBand="1"/>
      </w:tblPr>
      <w:tblGrid>
        <w:gridCol w:w="1362"/>
        <w:gridCol w:w="2166"/>
        <w:gridCol w:w="1118"/>
        <w:gridCol w:w="1119"/>
        <w:gridCol w:w="1465"/>
        <w:gridCol w:w="1123"/>
      </w:tblGrid>
      <w:tr w:rsidR="00027CD6" w:rsidRPr="00027CD6" w14:paraId="3EC4727D" w14:textId="77777777" w:rsidTr="00027CD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25" w:type="dxa"/>
            <w:noWrap/>
            <w:hideMark/>
          </w:tcPr>
          <w:p w14:paraId="36AB72E5" w14:textId="77777777" w:rsidR="00027CD6" w:rsidRPr="00027CD6" w:rsidRDefault="00027CD6" w:rsidP="00027CD6"/>
        </w:tc>
        <w:tc>
          <w:tcPr>
            <w:tcW w:w="2166" w:type="dxa"/>
            <w:noWrap/>
            <w:hideMark/>
          </w:tcPr>
          <w:p w14:paraId="6A63885E" w14:textId="77777777" w:rsidR="00027CD6" w:rsidRPr="00027CD6" w:rsidRDefault="00027CD6">
            <w:pPr>
              <w:cnfStyle w:val="100000000000" w:firstRow="1" w:lastRow="0" w:firstColumn="0" w:lastColumn="0" w:oddVBand="0" w:evenVBand="0" w:oddHBand="0" w:evenHBand="0" w:firstRowFirstColumn="0" w:firstRowLastColumn="0" w:lastRowFirstColumn="0" w:lastRowLastColumn="0"/>
            </w:pPr>
          </w:p>
        </w:tc>
        <w:tc>
          <w:tcPr>
            <w:tcW w:w="2237" w:type="dxa"/>
            <w:gridSpan w:val="2"/>
            <w:noWrap/>
            <w:hideMark/>
          </w:tcPr>
          <w:p w14:paraId="07735B70" w14:textId="77777777" w:rsidR="00027CD6" w:rsidRPr="00027CD6" w:rsidRDefault="00027CD6" w:rsidP="00027CD6">
            <w:pPr>
              <w:jc w:val="center"/>
              <w:cnfStyle w:val="100000000000" w:firstRow="1" w:lastRow="0" w:firstColumn="0" w:lastColumn="0" w:oddVBand="0" w:evenVBand="0" w:oddHBand="0" w:evenHBand="0" w:firstRowFirstColumn="0" w:firstRowLastColumn="0" w:lastRowFirstColumn="0" w:lastRowLastColumn="0"/>
            </w:pPr>
            <w:r w:rsidRPr="00027CD6">
              <w:t>2022</w:t>
            </w:r>
          </w:p>
        </w:tc>
        <w:tc>
          <w:tcPr>
            <w:tcW w:w="2588" w:type="dxa"/>
            <w:gridSpan w:val="2"/>
            <w:noWrap/>
            <w:hideMark/>
          </w:tcPr>
          <w:p w14:paraId="6F8790A1" w14:textId="77777777" w:rsidR="00027CD6" w:rsidRPr="00027CD6" w:rsidRDefault="00027CD6" w:rsidP="00027CD6">
            <w:pPr>
              <w:jc w:val="center"/>
              <w:cnfStyle w:val="100000000000" w:firstRow="1" w:lastRow="0" w:firstColumn="0" w:lastColumn="0" w:oddVBand="0" w:evenVBand="0" w:oddHBand="0" w:evenHBand="0" w:firstRowFirstColumn="0" w:firstRowLastColumn="0" w:lastRowFirstColumn="0" w:lastRowLastColumn="0"/>
            </w:pPr>
            <w:r w:rsidRPr="00027CD6">
              <w:t>2023</w:t>
            </w:r>
          </w:p>
        </w:tc>
      </w:tr>
      <w:tr w:rsidR="00027CD6" w:rsidRPr="00027CD6" w14:paraId="54E1013C" w14:textId="77777777" w:rsidTr="00027C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25" w:type="dxa"/>
            <w:noWrap/>
            <w:hideMark/>
          </w:tcPr>
          <w:p w14:paraId="116904F2" w14:textId="77777777" w:rsidR="00027CD6" w:rsidRPr="005A40E1" w:rsidRDefault="00027CD6">
            <w:r w:rsidRPr="005A40E1">
              <w:t>Parameter</w:t>
            </w:r>
          </w:p>
        </w:tc>
        <w:tc>
          <w:tcPr>
            <w:tcW w:w="2166" w:type="dxa"/>
            <w:noWrap/>
            <w:hideMark/>
          </w:tcPr>
          <w:p w14:paraId="04EF8219" w14:textId="77777777" w:rsidR="00027CD6" w:rsidRPr="005A40E1" w:rsidRDefault="00027CD6">
            <w:pPr>
              <w:cnfStyle w:val="000000100000" w:firstRow="0" w:lastRow="0" w:firstColumn="0" w:lastColumn="0" w:oddVBand="0" w:evenVBand="0" w:oddHBand="1" w:evenHBand="0" w:firstRowFirstColumn="0" w:firstRowLastColumn="0" w:lastRowFirstColumn="0" w:lastRowLastColumn="0"/>
              <w:rPr>
                <w:b/>
                <w:bCs/>
              </w:rPr>
            </w:pPr>
            <w:r w:rsidRPr="005A40E1">
              <w:rPr>
                <w:b/>
                <w:bCs/>
              </w:rPr>
              <w:t>Enhet</w:t>
            </w:r>
          </w:p>
        </w:tc>
        <w:tc>
          <w:tcPr>
            <w:tcW w:w="1118" w:type="dxa"/>
            <w:noWrap/>
            <w:hideMark/>
          </w:tcPr>
          <w:p w14:paraId="735EA5D0" w14:textId="77777777" w:rsidR="00027CD6" w:rsidRPr="005A40E1" w:rsidRDefault="00027CD6">
            <w:pPr>
              <w:cnfStyle w:val="000000100000" w:firstRow="0" w:lastRow="0" w:firstColumn="0" w:lastColumn="0" w:oddVBand="0" w:evenVBand="0" w:oddHBand="1" w:evenHBand="0" w:firstRowFirstColumn="0" w:firstRowLastColumn="0" w:lastRowFirstColumn="0" w:lastRowLastColumn="0"/>
              <w:rPr>
                <w:b/>
                <w:bCs/>
              </w:rPr>
            </w:pPr>
            <w:r w:rsidRPr="005A40E1">
              <w:rPr>
                <w:b/>
                <w:bCs/>
              </w:rPr>
              <w:t>Scope 1</w:t>
            </w:r>
          </w:p>
        </w:tc>
        <w:tc>
          <w:tcPr>
            <w:tcW w:w="1118" w:type="dxa"/>
            <w:noWrap/>
            <w:hideMark/>
          </w:tcPr>
          <w:p w14:paraId="110C0743" w14:textId="77777777" w:rsidR="00027CD6" w:rsidRPr="005A40E1" w:rsidRDefault="00027CD6">
            <w:pPr>
              <w:cnfStyle w:val="000000100000" w:firstRow="0" w:lastRow="0" w:firstColumn="0" w:lastColumn="0" w:oddVBand="0" w:evenVBand="0" w:oddHBand="1" w:evenHBand="0" w:firstRowFirstColumn="0" w:firstRowLastColumn="0" w:lastRowFirstColumn="0" w:lastRowLastColumn="0"/>
              <w:rPr>
                <w:b/>
                <w:bCs/>
              </w:rPr>
            </w:pPr>
            <w:r w:rsidRPr="005A40E1">
              <w:rPr>
                <w:b/>
                <w:bCs/>
              </w:rPr>
              <w:t>Scope 3</w:t>
            </w:r>
          </w:p>
        </w:tc>
        <w:tc>
          <w:tcPr>
            <w:tcW w:w="1465" w:type="dxa"/>
            <w:noWrap/>
            <w:hideMark/>
          </w:tcPr>
          <w:p w14:paraId="157F61FF" w14:textId="77777777" w:rsidR="00027CD6" w:rsidRPr="005A40E1" w:rsidRDefault="00027CD6">
            <w:pPr>
              <w:cnfStyle w:val="000000100000" w:firstRow="0" w:lastRow="0" w:firstColumn="0" w:lastColumn="0" w:oddVBand="0" w:evenVBand="0" w:oddHBand="1" w:evenHBand="0" w:firstRowFirstColumn="0" w:firstRowLastColumn="0" w:lastRowFirstColumn="0" w:lastRowLastColumn="0"/>
              <w:rPr>
                <w:b/>
                <w:bCs/>
              </w:rPr>
            </w:pPr>
            <w:r w:rsidRPr="005A40E1">
              <w:rPr>
                <w:b/>
                <w:bCs/>
              </w:rPr>
              <w:t>Scope 1</w:t>
            </w:r>
          </w:p>
        </w:tc>
        <w:tc>
          <w:tcPr>
            <w:tcW w:w="1122" w:type="dxa"/>
            <w:noWrap/>
            <w:hideMark/>
          </w:tcPr>
          <w:p w14:paraId="52DF2025" w14:textId="77777777" w:rsidR="00027CD6" w:rsidRPr="005A40E1" w:rsidRDefault="00027CD6">
            <w:pPr>
              <w:cnfStyle w:val="000000100000" w:firstRow="0" w:lastRow="0" w:firstColumn="0" w:lastColumn="0" w:oddVBand="0" w:evenVBand="0" w:oddHBand="1" w:evenHBand="0" w:firstRowFirstColumn="0" w:firstRowLastColumn="0" w:lastRowFirstColumn="0" w:lastRowLastColumn="0"/>
              <w:rPr>
                <w:b/>
                <w:bCs/>
              </w:rPr>
            </w:pPr>
            <w:r w:rsidRPr="005A40E1">
              <w:rPr>
                <w:b/>
                <w:bCs/>
              </w:rPr>
              <w:t>Scope 3</w:t>
            </w:r>
          </w:p>
        </w:tc>
      </w:tr>
      <w:tr w:rsidR="00027CD6" w:rsidRPr="00027CD6" w14:paraId="17B85A78" w14:textId="77777777" w:rsidTr="00027CD6">
        <w:trPr>
          <w:trHeight w:val="170"/>
        </w:trPr>
        <w:tc>
          <w:tcPr>
            <w:cnfStyle w:val="001000000000" w:firstRow="0" w:lastRow="0" w:firstColumn="1" w:lastColumn="0" w:oddVBand="0" w:evenVBand="0" w:oddHBand="0" w:evenHBand="0" w:firstRowFirstColumn="0" w:firstRowLastColumn="0" w:lastRowFirstColumn="0" w:lastRowLastColumn="0"/>
            <w:tcW w:w="1325" w:type="dxa"/>
            <w:noWrap/>
            <w:hideMark/>
          </w:tcPr>
          <w:p w14:paraId="56F933D0" w14:textId="77777777" w:rsidR="00027CD6" w:rsidRPr="00027CD6" w:rsidRDefault="00027CD6">
            <w:r w:rsidRPr="00027CD6">
              <w:t>Biogas</w:t>
            </w:r>
          </w:p>
        </w:tc>
        <w:tc>
          <w:tcPr>
            <w:tcW w:w="2166" w:type="dxa"/>
            <w:noWrap/>
            <w:hideMark/>
          </w:tcPr>
          <w:p w14:paraId="3145844F" w14:textId="77777777" w:rsidR="00027CD6" w:rsidRPr="00027CD6" w:rsidRDefault="00027CD6">
            <w:pPr>
              <w:cnfStyle w:val="000000000000" w:firstRow="0" w:lastRow="0" w:firstColumn="0" w:lastColumn="0" w:oddVBand="0" w:evenVBand="0" w:oddHBand="0" w:evenHBand="0" w:firstRowFirstColumn="0" w:firstRowLastColumn="0" w:lastRowFirstColumn="0" w:lastRowLastColumn="0"/>
            </w:pPr>
            <w:r w:rsidRPr="00027CD6">
              <w:t>kgCO2e/kg</w:t>
            </w:r>
          </w:p>
        </w:tc>
        <w:tc>
          <w:tcPr>
            <w:tcW w:w="1118" w:type="dxa"/>
            <w:noWrap/>
            <w:hideMark/>
          </w:tcPr>
          <w:p w14:paraId="52F1AB0E" w14:textId="57CD61F8" w:rsidR="00027CD6" w:rsidRPr="00027CD6" w:rsidRDefault="00027CD6" w:rsidP="00027CD6">
            <w:pPr>
              <w:cnfStyle w:val="000000000000" w:firstRow="0" w:lastRow="0" w:firstColumn="0" w:lastColumn="0" w:oddVBand="0" w:evenVBand="0" w:oddHBand="0" w:evenHBand="0" w:firstRowFirstColumn="0" w:firstRowLastColumn="0" w:lastRowFirstColumn="0" w:lastRowLastColumn="0"/>
            </w:pPr>
            <w:r w:rsidRPr="00027CD6">
              <w:t>0,002</w:t>
            </w:r>
            <w:r w:rsidR="00682207">
              <w:t>8</w:t>
            </w:r>
          </w:p>
        </w:tc>
        <w:tc>
          <w:tcPr>
            <w:tcW w:w="1118" w:type="dxa"/>
            <w:noWrap/>
            <w:hideMark/>
          </w:tcPr>
          <w:p w14:paraId="1C3C288E" w14:textId="339F7CD6" w:rsidR="00027CD6" w:rsidRPr="00027CD6" w:rsidRDefault="00027CD6" w:rsidP="00027CD6">
            <w:pPr>
              <w:cnfStyle w:val="000000000000" w:firstRow="0" w:lastRow="0" w:firstColumn="0" w:lastColumn="0" w:oddVBand="0" w:evenVBand="0" w:oddHBand="0" w:evenHBand="0" w:firstRowFirstColumn="0" w:firstRowLastColumn="0" w:lastRowFirstColumn="0" w:lastRowLastColumn="0"/>
            </w:pPr>
            <w:r w:rsidRPr="00027CD6">
              <w:t>0,4</w:t>
            </w:r>
            <w:r w:rsidR="00FA3BB5">
              <w:t>400</w:t>
            </w:r>
          </w:p>
        </w:tc>
        <w:tc>
          <w:tcPr>
            <w:tcW w:w="1465" w:type="dxa"/>
            <w:noWrap/>
            <w:hideMark/>
          </w:tcPr>
          <w:p w14:paraId="4AEC9BB6" w14:textId="6E44061E" w:rsidR="00027CD6" w:rsidRPr="00027CD6" w:rsidRDefault="00027CD6">
            <w:pPr>
              <w:cnfStyle w:val="000000000000" w:firstRow="0" w:lastRow="0" w:firstColumn="0" w:lastColumn="0" w:oddVBand="0" w:evenVBand="0" w:oddHBand="0" w:evenHBand="0" w:firstRowFirstColumn="0" w:firstRowLastColumn="0" w:lastRowFirstColumn="0" w:lastRowLastColumn="0"/>
            </w:pPr>
            <w:r w:rsidRPr="00027CD6">
              <w:t xml:space="preserve">0,0027 </w:t>
            </w:r>
          </w:p>
        </w:tc>
        <w:tc>
          <w:tcPr>
            <w:tcW w:w="1122" w:type="dxa"/>
            <w:noWrap/>
            <w:hideMark/>
          </w:tcPr>
          <w:p w14:paraId="721E83EF" w14:textId="42AB9CC4" w:rsidR="00027CD6" w:rsidRPr="00027CD6" w:rsidRDefault="00027CD6">
            <w:pPr>
              <w:cnfStyle w:val="000000000000" w:firstRow="0" w:lastRow="0" w:firstColumn="0" w:lastColumn="0" w:oddVBand="0" w:evenVBand="0" w:oddHBand="0" w:evenHBand="0" w:firstRowFirstColumn="0" w:firstRowLastColumn="0" w:lastRowFirstColumn="0" w:lastRowLastColumn="0"/>
            </w:pPr>
            <w:r w:rsidRPr="00027CD6">
              <w:t xml:space="preserve">0,4559 </w:t>
            </w:r>
          </w:p>
        </w:tc>
      </w:tr>
      <w:tr w:rsidR="00027CD6" w:rsidRPr="00027CD6" w14:paraId="3ABF1C35" w14:textId="77777777" w:rsidTr="00027C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25" w:type="dxa"/>
            <w:noWrap/>
            <w:hideMark/>
          </w:tcPr>
          <w:p w14:paraId="16735DC7" w14:textId="77777777" w:rsidR="00027CD6" w:rsidRPr="00027CD6" w:rsidRDefault="00027CD6">
            <w:r w:rsidRPr="00027CD6">
              <w:t>Fordonsgas</w:t>
            </w:r>
          </w:p>
        </w:tc>
        <w:tc>
          <w:tcPr>
            <w:tcW w:w="2166" w:type="dxa"/>
            <w:noWrap/>
            <w:hideMark/>
          </w:tcPr>
          <w:p w14:paraId="62E146E6" w14:textId="77777777" w:rsidR="00027CD6" w:rsidRPr="00027CD6" w:rsidRDefault="00027CD6">
            <w:pPr>
              <w:cnfStyle w:val="000000100000" w:firstRow="0" w:lastRow="0" w:firstColumn="0" w:lastColumn="0" w:oddVBand="0" w:evenVBand="0" w:oddHBand="1" w:evenHBand="0" w:firstRowFirstColumn="0" w:firstRowLastColumn="0" w:lastRowFirstColumn="0" w:lastRowLastColumn="0"/>
            </w:pPr>
            <w:r w:rsidRPr="00027CD6">
              <w:t>kgCO2e/kg</w:t>
            </w:r>
          </w:p>
        </w:tc>
        <w:tc>
          <w:tcPr>
            <w:tcW w:w="1118" w:type="dxa"/>
            <w:noWrap/>
            <w:hideMark/>
          </w:tcPr>
          <w:p w14:paraId="7769DAD0" w14:textId="650DC0EE" w:rsidR="00027CD6" w:rsidRPr="00027CD6" w:rsidRDefault="00027CD6" w:rsidP="00027CD6">
            <w:pPr>
              <w:cnfStyle w:val="000000100000" w:firstRow="0" w:lastRow="0" w:firstColumn="0" w:lastColumn="0" w:oddVBand="0" w:evenVBand="0" w:oddHBand="1" w:evenHBand="0" w:firstRowFirstColumn="0" w:firstRowLastColumn="0" w:lastRowFirstColumn="0" w:lastRowLastColumn="0"/>
            </w:pPr>
            <w:r w:rsidRPr="00027CD6">
              <w:t>0,057</w:t>
            </w:r>
            <w:r w:rsidR="00682207">
              <w:t>2</w:t>
            </w:r>
          </w:p>
        </w:tc>
        <w:tc>
          <w:tcPr>
            <w:tcW w:w="1118" w:type="dxa"/>
            <w:noWrap/>
            <w:hideMark/>
          </w:tcPr>
          <w:p w14:paraId="32FC6808" w14:textId="09C180F4" w:rsidR="00027CD6" w:rsidRPr="00027CD6" w:rsidRDefault="00027CD6" w:rsidP="00027CD6">
            <w:pPr>
              <w:cnfStyle w:val="000000100000" w:firstRow="0" w:lastRow="0" w:firstColumn="0" w:lastColumn="0" w:oddVBand="0" w:evenVBand="0" w:oddHBand="1" w:evenHBand="0" w:firstRowFirstColumn="0" w:firstRowLastColumn="0" w:lastRowFirstColumn="0" w:lastRowLastColumn="0"/>
            </w:pPr>
            <w:r w:rsidRPr="00027CD6">
              <w:t>0,4470</w:t>
            </w:r>
          </w:p>
        </w:tc>
        <w:tc>
          <w:tcPr>
            <w:tcW w:w="1465" w:type="dxa"/>
            <w:noWrap/>
            <w:hideMark/>
          </w:tcPr>
          <w:p w14:paraId="182FC829" w14:textId="0F73F328" w:rsidR="00027CD6" w:rsidRPr="00027CD6" w:rsidRDefault="00027CD6">
            <w:pPr>
              <w:cnfStyle w:val="000000100000" w:firstRow="0" w:lastRow="0" w:firstColumn="0" w:lastColumn="0" w:oddVBand="0" w:evenVBand="0" w:oddHBand="1" w:evenHBand="0" w:firstRowFirstColumn="0" w:firstRowLastColumn="0" w:lastRowFirstColumn="0" w:lastRowLastColumn="0"/>
            </w:pPr>
            <w:r w:rsidRPr="00027CD6">
              <w:t xml:space="preserve">0,0953 </w:t>
            </w:r>
          </w:p>
        </w:tc>
        <w:tc>
          <w:tcPr>
            <w:tcW w:w="1122" w:type="dxa"/>
            <w:noWrap/>
            <w:hideMark/>
          </w:tcPr>
          <w:p w14:paraId="7C1E8AC8" w14:textId="4AA22BD7" w:rsidR="00027CD6" w:rsidRPr="00027CD6" w:rsidRDefault="00027CD6">
            <w:pPr>
              <w:cnfStyle w:val="000000100000" w:firstRow="0" w:lastRow="0" w:firstColumn="0" w:lastColumn="0" w:oddVBand="0" w:evenVBand="0" w:oddHBand="1" w:evenHBand="0" w:firstRowFirstColumn="0" w:firstRowLastColumn="0" w:lastRowFirstColumn="0" w:lastRowLastColumn="0"/>
            </w:pPr>
            <w:r w:rsidRPr="00027CD6">
              <w:t xml:space="preserve">0,4655 </w:t>
            </w:r>
          </w:p>
        </w:tc>
      </w:tr>
      <w:tr w:rsidR="00027CD6" w:rsidRPr="00027CD6" w14:paraId="11162E3A" w14:textId="77777777" w:rsidTr="00027CD6">
        <w:trPr>
          <w:trHeight w:val="170"/>
        </w:trPr>
        <w:tc>
          <w:tcPr>
            <w:cnfStyle w:val="001000000000" w:firstRow="0" w:lastRow="0" w:firstColumn="1" w:lastColumn="0" w:oddVBand="0" w:evenVBand="0" w:oddHBand="0" w:evenHBand="0" w:firstRowFirstColumn="0" w:firstRowLastColumn="0" w:lastRowFirstColumn="0" w:lastRowLastColumn="0"/>
            <w:tcW w:w="1325" w:type="dxa"/>
            <w:noWrap/>
            <w:hideMark/>
          </w:tcPr>
          <w:p w14:paraId="50A9F957" w14:textId="77777777" w:rsidR="00027CD6" w:rsidRPr="00027CD6" w:rsidRDefault="00027CD6">
            <w:r w:rsidRPr="00027CD6">
              <w:t>Biogas</w:t>
            </w:r>
          </w:p>
        </w:tc>
        <w:tc>
          <w:tcPr>
            <w:tcW w:w="2166" w:type="dxa"/>
            <w:noWrap/>
            <w:hideMark/>
          </w:tcPr>
          <w:p w14:paraId="23CF6183" w14:textId="4DD697CB" w:rsidR="00027CD6" w:rsidRPr="00027CD6" w:rsidRDefault="00027CD6">
            <w:pPr>
              <w:cnfStyle w:val="000000000000" w:firstRow="0" w:lastRow="0" w:firstColumn="0" w:lastColumn="0" w:oddVBand="0" w:evenVBand="0" w:oddHBand="0" w:evenHBand="0" w:firstRowFirstColumn="0" w:firstRowLastColumn="0" w:lastRowFirstColumn="0" w:lastRowLastColumn="0"/>
            </w:pPr>
            <w:r w:rsidRPr="00027CD6">
              <w:t>kgCO2e/MW</w:t>
            </w:r>
            <w:r w:rsidR="00DD5FAB">
              <w:t>h</w:t>
            </w:r>
          </w:p>
        </w:tc>
        <w:tc>
          <w:tcPr>
            <w:tcW w:w="1118" w:type="dxa"/>
            <w:noWrap/>
            <w:hideMark/>
          </w:tcPr>
          <w:p w14:paraId="65DCAF6F" w14:textId="77777777" w:rsidR="00027CD6" w:rsidRPr="00027CD6" w:rsidRDefault="00027CD6" w:rsidP="00027CD6">
            <w:pPr>
              <w:cnfStyle w:val="000000000000" w:firstRow="0" w:lastRow="0" w:firstColumn="0" w:lastColumn="0" w:oddVBand="0" w:evenVBand="0" w:oddHBand="0" w:evenHBand="0" w:firstRowFirstColumn="0" w:firstRowLastColumn="0" w:lastRowFirstColumn="0" w:lastRowLastColumn="0"/>
            </w:pPr>
            <w:r w:rsidRPr="00027CD6">
              <w:t>0,198</w:t>
            </w:r>
          </w:p>
        </w:tc>
        <w:tc>
          <w:tcPr>
            <w:tcW w:w="1118" w:type="dxa"/>
            <w:noWrap/>
            <w:hideMark/>
          </w:tcPr>
          <w:p w14:paraId="5E433526" w14:textId="77777777" w:rsidR="00027CD6" w:rsidRPr="00027CD6" w:rsidRDefault="00027CD6" w:rsidP="00027CD6">
            <w:pPr>
              <w:cnfStyle w:val="000000000000" w:firstRow="0" w:lastRow="0" w:firstColumn="0" w:lastColumn="0" w:oddVBand="0" w:evenVBand="0" w:oddHBand="0" w:evenHBand="0" w:firstRowFirstColumn="0" w:firstRowLastColumn="0" w:lastRowFirstColumn="0" w:lastRowLastColumn="0"/>
            </w:pPr>
            <w:r w:rsidRPr="00027CD6">
              <w:t>32,4576</w:t>
            </w:r>
          </w:p>
        </w:tc>
        <w:tc>
          <w:tcPr>
            <w:tcW w:w="1465" w:type="dxa"/>
            <w:noWrap/>
            <w:hideMark/>
          </w:tcPr>
          <w:p w14:paraId="535AEE5C" w14:textId="4CA9EC62" w:rsidR="00027CD6" w:rsidRPr="00027CD6" w:rsidRDefault="00027CD6">
            <w:pPr>
              <w:cnfStyle w:val="000000000000" w:firstRow="0" w:lastRow="0" w:firstColumn="0" w:lastColumn="0" w:oddVBand="0" w:evenVBand="0" w:oddHBand="0" w:evenHBand="0" w:firstRowFirstColumn="0" w:firstRowLastColumn="0" w:lastRowFirstColumn="0" w:lastRowLastColumn="0"/>
            </w:pPr>
            <w:r w:rsidRPr="00027CD6">
              <w:t xml:space="preserve">0,1980 </w:t>
            </w:r>
          </w:p>
        </w:tc>
        <w:tc>
          <w:tcPr>
            <w:tcW w:w="1122" w:type="dxa"/>
            <w:noWrap/>
            <w:hideMark/>
          </w:tcPr>
          <w:p w14:paraId="62772D6A" w14:textId="2DDE5BFF" w:rsidR="00027CD6" w:rsidRPr="00027CD6" w:rsidRDefault="00027CD6">
            <w:pPr>
              <w:cnfStyle w:val="000000000000" w:firstRow="0" w:lastRow="0" w:firstColumn="0" w:lastColumn="0" w:oddVBand="0" w:evenVBand="0" w:oddHBand="0" w:evenHBand="0" w:firstRowFirstColumn="0" w:firstRowLastColumn="0" w:lastRowFirstColumn="0" w:lastRowLastColumn="0"/>
            </w:pPr>
            <w:r w:rsidRPr="00027CD6">
              <w:t xml:space="preserve">33,6276 </w:t>
            </w:r>
          </w:p>
        </w:tc>
      </w:tr>
      <w:tr w:rsidR="00027CD6" w:rsidRPr="00027CD6" w14:paraId="45711111" w14:textId="77777777" w:rsidTr="00027C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25" w:type="dxa"/>
            <w:noWrap/>
            <w:hideMark/>
          </w:tcPr>
          <w:p w14:paraId="1AF81E12" w14:textId="77777777" w:rsidR="00027CD6" w:rsidRPr="00027CD6" w:rsidRDefault="00027CD6">
            <w:r w:rsidRPr="00027CD6">
              <w:t>Fordonsgas</w:t>
            </w:r>
          </w:p>
        </w:tc>
        <w:tc>
          <w:tcPr>
            <w:tcW w:w="2166" w:type="dxa"/>
            <w:noWrap/>
            <w:hideMark/>
          </w:tcPr>
          <w:p w14:paraId="3BA65874" w14:textId="1AFCA190" w:rsidR="00027CD6" w:rsidRPr="00027CD6" w:rsidRDefault="00027CD6">
            <w:pPr>
              <w:cnfStyle w:val="000000100000" w:firstRow="0" w:lastRow="0" w:firstColumn="0" w:lastColumn="0" w:oddVBand="0" w:evenVBand="0" w:oddHBand="1" w:evenHBand="0" w:firstRowFirstColumn="0" w:firstRowLastColumn="0" w:lastRowFirstColumn="0" w:lastRowLastColumn="0"/>
            </w:pPr>
            <w:r w:rsidRPr="00027CD6">
              <w:t>kgCO2e/MW</w:t>
            </w:r>
            <w:r w:rsidR="00DD5FAB">
              <w:t>h</w:t>
            </w:r>
          </w:p>
        </w:tc>
        <w:tc>
          <w:tcPr>
            <w:tcW w:w="1118" w:type="dxa"/>
            <w:noWrap/>
            <w:hideMark/>
          </w:tcPr>
          <w:p w14:paraId="779C31A7" w14:textId="77777777" w:rsidR="00027CD6" w:rsidRPr="00027CD6" w:rsidRDefault="00027CD6" w:rsidP="00027CD6">
            <w:pPr>
              <w:cnfStyle w:val="000000100000" w:firstRow="0" w:lastRow="0" w:firstColumn="0" w:lastColumn="0" w:oddVBand="0" w:evenVBand="0" w:oddHBand="1" w:evenHBand="0" w:firstRowFirstColumn="0" w:firstRowLastColumn="0" w:lastRowFirstColumn="0" w:lastRowLastColumn="0"/>
            </w:pPr>
            <w:r w:rsidRPr="00027CD6">
              <w:t>4,194</w:t>
            </w:r>
          </w:p>
        </w:tc>
        <w:tc>
          <w:tcPr>
            <w:tcW w:w="1118" w:type="dxa"/>
            <w:noWrap/>
            <w:hideMark/>
          </w:tcPr>
          <w:p w14:paraId="3E29D9DD" w14:textId="77777777" w:rsidR="00027CD6" w:rsidRPr="00027CD6" w:rsidRDefault="00027CD6" w:rsidP="00027CD6">
            <w:pPr>
              <w:cnfStyle w:val="000000100000" w:firstRow="0" w:lastRow="0" w:firstColumn="0" w:lastColumn="0" w:oddVBand="0" w:evenVBand="0" w:oddHBand="1" w:evenHBand="0" w:firstRowFirstColumn="0" w:firstRowLastColumn="0" w:lastRowFirstColumn="0" w:lastRowLastColumn="0"/>
            </w:pPr>
            <w:r w:rsidRPr="00027CD6">
              <w:t>32,7744</w:t>
            </w:r>
          </w:p>
        </w:tc>
        <w:tc>
          <w:tcPr>
            <w:tcW w:w="1465" w:type="dxa"/>
            <w:noWrap/>
            <w:hideMark/>
          </w:tcPr>
          <w:p w14:paraId="6697D969" w14:textId="467C0ACC" w:rsidR="00027CD6" w:rsidRPr="00027CD6" w:rsidRDefault="00027CD6">
            <w:pPr>
              <w:cnfStyle w:val="000000100000" w:firstRow="0" w:lastRow="0" w:firstColumn="0" w:lastColumn="0" w:oddVBand="0" w:evenVBand="0" w:oddHBand="1" w:evenHBand="0" w:firstRowFirstColumn="0" w:firstRowLastColumn="0" w:lastRowFirstColumn="0" w:lastRowLastColumn="0"/>
            </w:pPr>
            <w:r w:rsidRPr="00027CD6">
              <w:t xml:space="preserve">6,9912 </w:t>
            </w:r>
          </w:p>
        </w:tc>
        <w:tc>
          <w:tcPr>
            <w:tcW w:w="1122" w:type="dxa"/>
            <w:noWrap/>
            <w:hideMark/>
          </w:tcPr>
          <w:p w14:paraId="6A7C8116" w14:textId="1FB700B0" w:rsidR="00027CD6" w:rsidRPr="00027CD6" w:rsidRDefault="00027CD6">
            <w:pPr>
              <w:cnfStyle w:val="000000100000" w:firstRow="0" w:lastRow="0" w:firstColumn="0" w:lastColumn="0" w:oddVBand="0" w:evenVBand="0" w:oddHBand="1" w:evenHBand="0" w:firstRowFirstColumn="0" w:firstRowLastColumn="0" w:lastRowFirstColumn="0" w:lastRowLastColumn="0"/>
            </w:pPr>
            <w:r w:rsidRPr="00027CD6">
              <w:t xml:space="preserve">34,1316 </w:t>
            </w:r>
          </w:p>
        </w:tc>
      </w:tr>
    </w:tbl>
    <w:p w14:paraId="6068BF28" w14:textId="62C4BA87" w:rsidR="00DD5FAB" w:rsidRDefault="00DD5FAB" w:rsidP="00F87BC4"/>
    <w:p w14:paraId="711AE4F1" w14:textId="0F467BCE" w:rsidR="00DD5FAB" w:rsidRPr="00D24B0C" w:rsidRDefault="00DD5FAB" w:rsidP="00F87BC4">
      <w:r>
        <w:t xml:space="preserve">Utsläppsfaktorerna för 2023 är uppdaterade i </w:t>
      </w:r>
      <w:r w:rsidR="00D00F79">
        <w:t xml:space="preserve">version 3.1 av verktyget. För utsläppsfaktorerna för 2022 så rekommenderas det att dessa uppdateras </w:t>
      </w:r>
      <w:r w:rsidR="00644A52">
        <w:t>i den förra versionen av verktyget tillsammans med data för 2022 för att få jämförbarhet. Detta kan göras i verktyget genom att justera utsläppsfaktor</w:t>
      </w:r>
      <w:r w:rsidR="00E603E8">
        <w:t xml:space="preserve">n för bio- och fordonsgas i inmatningsflikarna. </w:t>
      </w:r>
    </w:p>
    <w:p w14:paraId="43C74F55" w14:textId="4CD612F4" w:rsidR="00CF195B" w:rsidRPr="00F87BC4" w:rsidRDefault="00CF195B" w:rsidP="00F87BC4">
      <w:pPr>
        <w:pStyle w:val="Rubrik2"/>
      </w:pPr>
      <w:bookmarkStart w:id="13" w:name="_Toc152920022"/>
      <w:r w:rsidRPr="00F87BC4">
        <w:t>Energi</w:t>
      </w:r>
      <w:r w:rsidR="008A70A4" w:rsidRPr="00F87BC4">
        <w:t xml:space="preserve">användning med </w:t>
      </w:r>
      <w:r w:rsidR="00D37FF0" w:rsidRPr="00F87BC4">
        <w:t>faktorer</w:t>
      </w:r>
      <w:bookmarkEnd w:id="13"/>
    </w:p>
    <w:p w14:paraId="6907B657" w14:textId="15B93A72" w:rsidR="008A70A4" w:rsidRPr="00F87BC4" w:rsidRDefault="00B2263C" w:rsidP="00F87BC4">
      <w:r w:rsidRPr="00F87BC4">
        <w:t>För</w:t>
      </w:r>
      <w:r w:rsidR="00D37FF0" w:rsidRPr="00F87BC4">
        <w:t xml:space="preserve"> version 3 av verktyget </w:t>
      </w:r>
      <w:r w:rsidR="008A70A4" w:rsidRPr="00F87BC4">
        <w:t>finns även en sammanställning av regionens användning av energi för fastigheter och transporter. Till följd av dagens byggregler och kommande EU-krav görs även en omräkning till</w:t>
      </w:r>
      <w:r w:rsidR="00F552A6" w:rsidRPr="00F87BC4">
        <w:t xml:space="preserve"> primärenergi</w:t>
      </w:r>
      <w:r w:rsidR="008A70A4" w:rsidRPr="00F87BC4">
        <w:t>, dvs de</w:t>
      </w:r>
      <w:r w:rsidR="004E4CE1" w:rsidRPr="00F87BC4">
        <w:t xml:space="preserve"> ursprungliga</w:t>
      </w:r>
      <w:r w:rsidR="008A70A4" w:rsidRPr="00F87BC4">
        <w:rPr>
          <w:rFonts w:cs="Arial"/>
          <w:color w:val="202122"/>
          <w:shd w:val="clear" w:color="auto" w:fill="FFFFFF"/>
        </w:rPr>
        <w:t> </w:t>
      </w:r>
      <w:r w:rsidR="008A70A4" w:rsidRPr="00F87BC4">
        <w:rPr>
          <w:rFonts w:cs="Arial"/>
          <w:shd w:val="clear" w:color="auto" w:fill="FFFFFF"/>
        </w:rPr>
        <w:t>energikällor</w:t>
      </w:r>
      <w:r w:rsidR="008A70A4" w:rsidRPr="00F87BC4">
        <w:rPr>
          <w:rFonts w:cs="Arial"/>
          <w:color w:val="202122"/>
          <w:shd w:val="clear" w:color="auto" w:fill="FFFFFF"/>
        </w:rPr>
        <w:t xml:space="preserve"> som tillförs för omvandling till mer användbara former, såsom el, fjärrvärme och finare bränslen. </w:t>
      </w:r>
    </w:p>
    <w:p w14:paraId="3DCEA8CA" w14:textId="04D9F5FF" w:rsidR="00D37FF0" w:rsidRPr="00F87BC4" w:rsidRDefault="008A70A4" w:rsidP="00F87BC4">
      <w:r w:rsidRPr="00F87BC4">
        <w:t xml:space="preserve">För nedanstående </w:t>
      </w:r>
      <w:r w:rsidR="00F552A6" w:rsidRPr="00F87BC4">
        <w:t xml:space="preserve">kategorier </w:t>
      </w:r>
      <w:r w:rsidRPr="00F87BC4">
        <w:t>görs</w:t>
      </w:r>
      <w:r w:rsidR="0007357F" w:rsidRPr="00F87BC4">
        <w:t xml:space="preserve"> en energiberäkning</w:t>
      </w:r>
      <w:r w:rsidRPr="00F87BC4">
        <w:t xml:space="preserve"> som komplement till </w:t>
      </w:r>
      <w:r w:rsidR="004E4CE1" w:rsidRPr="00F87BC4">
        <w:t xml:space="preserve">verktygets </w:t>
      </w:r>
      <w:r w:rsidRPr="00F87BC4">
        <w:t>utsläppsberäkning</w:t>
      </w:r>
      <w:r w:rsidR="0007357F" w:rsidRPr="00F87BC4">
        <w:t>:</w:t>
      </w:r>
    </w:p>
    <w:tbl>
      <w:tblPr>
        <w:tblStyle w:val="Rutntstabell4dekorfrg1"/>
        <w:tblW w:w="4819" w:type="dxa"/>
        <w:tblInd w:w="279" w:type="dxa"/>
        <w:tblLook w:val="04A0" w:firstRow="1" w:lastRow="0" w:firstColumn="1" w:lastColumn="0" w:noHBand="0" w:noVBand="1"/>
      </w:tblPr>
      <w:tblGrid>
        <w:gridCol w:w="4819"/>
      </w:tblGrid>
      <w:tr w:rsidR="0007357F" w:rsidRPr="00F87BC4" w14:paraId="65FF10FA" w14:textId="77777777" w:rsidTr="0022241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19" w:type="dxa"/>
          </w:tcPr>
          <w:p w14:paraId="5E4A9FF3" w14:textId="0B52C9AA" w:rsidR="0007357F" w:rsidRPr="00F87BC4" w:rsidRDefault="0007357F" w:rsidP="00F87BC4">
            <w:pPr>
              <w:rPr>
                <w:b w:val="0"/>
                <w:bCs w:val="0"/>
              </w:rPr>
            </w:pPr>
            <w:r w:rsidRPr="00301573">
              <w:rPr>
                <w:b w:val="0"/>
                <w:bCs w:val="0"/>
                <w:color w:val="auto"/>
              </w:rPr>
              <w:t>Kategori</w:t>
            </w:r>
            <w:r w:rsidR="004E4CE1" w:rsidRPr="00301573">
              <w:rPr>
                <w:b w:val="0"/>
                <w:bCs w:val="0"/>
                <w:color w:val="auto"/>
              </w:rPr>
              <w:t>er</w:t>
            </w:r>
            <w:r w:rsidRPr="00301573">
              <w:rPr>
                <w:b w:val="0"/>
                <w:bCs w:val="0"/>
                <w:color w:val="auto"/>
              </w:rPr>
              <w:t xml:space="preserve"> </w:t>
            </w:r>
            <w:r w:rsidR="004E4CE1" w:rsidRPr="00301573">
              <w:rPr>
                <w:b w:val="0"/>
                <w:bCs w:val="0"/>
                <w:color w:val="auto"/>
              </w:rPr>
              <w:t>i</w:t>
            </w:r>
            <w:r w:rsidR="0022241F" w:rsidRPr="00301573">
              <w:rPr>
                <w:b w:val="0"/>
                <w:bCs w:val="0"/>
                <w:color w:val="auto"/>
              </w:rPr>
              <w:t xml:space="preserve"> energiberäkning</w:t>
            </w:r>
            <w:r w:rsidR="004E4CE1" w:rsidRPr="00301573">
              <w:rPr>
                <w:b w:val="0"/>
                <w:bCs w:val="0"/>
                <w:color w:val="auto"/>
              </w:rPr>
              <w:t>en</w:t>
            </w:r>
          </w:p>
        </w:tc>
      </w:tr>
      <w:tr w:rsidR="0007357F" w:rsidRPr="00F87BC4" w14:paraId="40BC2221"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053B3C76" w14:textId="77777777" w:rsidR="0007357F" w:rsidRPr="00F87BC4" w:rsidRDefault="0007357F" w:rsidP="00F87BC4">
            <w:pPr>
              <w:rPr>
                <w:b w:val="0"/>
                <w:bCs w:val="0"/>
              </w:rPr>
            </w:pPr>
            <w:r w:rsidRPr="00F87BC4">
              <w:rPr>
                <w:b w:val="0"/>
                <w:bCs w:val="0"/>
              </w:rPr>
              <w:t>El – egna fastigheter</w:t>
            </w:r>
          </w:p>
        </w:tc>
      </w:tr>
      <w:tr w:rsidR="0007357F" w:rsidRPr="00F87BC4" w14:paraId="34159CBE"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0C761592" w14:textId="77777777" w:rsidR="0007357F" w:rsidRPr="00F87BC4" w:rsidRDefault="0007357F" w:rsidP="00F87BC4">
            <w:pPr>
              <w:rPr>
                <w:b w:val="0"/>
                <w:bCs w:val="0"/>
              </w:rPr>
            </w:pPr>
            <w:r w:rsidRPr="00F87BC4">
              <w:rPr>
                <w:b w:val="0"/>
                <w:bCs w:val="0"/>
              </w:rPr>
              <w:t>El – hyrda fastigheter</w:t>
            </w:r>
          </w:p>
        </w:tc>
      </w:tr>
      <w:tr w:rsidR="0007357F" w:rsidRPr="00F87BC4" w14:paraId="13041F7C"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3C2AEDB4" w14:textId="77777777" w:rsidR="0007357F" w:rsidRPr="00F87BC4" w:rsidRDefault="0007357F" w:rsidP="00F87BC4">
            <w:pPr>
              <w:rPr>
                <w:b w:val="0"/>
                <w:bCs w:val="0"/>
              </w:rPr>
            </w:pPr>
            <w:r w:rsidRPr="00F87BC4">
              <w:rPr>
                <w:b w:val="0"/>
                <w:bCs w:val="0"/>
              </w:rPr>
              <w:t>Fjärrvärme/kyla – egna fastigheter</w:t>
            </w:r>
          </w:p>
        </w:tc>
      </w:tr>
      <w:tr w:rsidR="0007357F" w:rsidRPr="00F87BC4" w14:paraId="3C979925"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2038A4A0" w14:textId="77777777" w:rsidR="0007357F" w:rsidRPr="00F87BC4" w:rsidRDefault="0007357F" w:rsidP="00F87BC4">
            <w:pPr>
              <w:rPr>
                <w:b w:val="0"/>
                <w:bCs w:val="0"/>
              </w:rPr>
            </w:pPr>
            <w:r w:rsidRPr="00F87BC4">
              <w:rPr>
                <w:b w:val="0"/>
                <w:bCs w:val="0"/>
              </w:rPr>
              <w:t>Fjärrvärme/kyla – hyrda fastigheter</w:t>
            </w:r>
          </w:p>
        </w:tc>
      </w:tr>
      <w:tr w:rsidR="0007357F" w:rsidRPr="00F87BC4" w14:paraId="642542A3"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1EDAF5B6"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Uppvärmning med egen panna</w:t>
            </w:r>
          </w:p>
        </w:tc>
      </w:tr>
      <w:tr w:rsidR="0007357F" w:rsidRPr="00F87BC4" w14:paraId="3E66B901"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047A49F9"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Reservkraft</w:t>
            </w:r>
          </w:p>
        </w:tc>
      </w:tr>
      <w:tr w:rsidR="0007357F" w:rsidRPr="00F87BC4" w14:paraId="1B543768"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05D42A0B"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Köldmedia</w:t>
            </w:r>
          </w:p>
        </w:tc>
      </w:tr>
      <w:tr w:rsidR="0007357F" w:rsidRPr="00F87BC4" w14:paraId="0EA3F122"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08DE502D"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Vattenförbrukning och yttre skötsel</w:t>
            </w:r>
          </w:p>
        </w:tc>
      </w:tr>
      <w:tr w:rsidR="0007357F" w:rsidRPr="00F87BC4" w14:paraId="2E758C1E"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66101BC9"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Allmän kollektivtrafik</w:t>
            </w:r>
          </w:p>
        </w:tc>
      </w:tr>
      <w:tr w:rsidR="0007357F" w:rsidRPr="00F87BC4" w14:paraId="61564F33"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6E8D3050"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 xml:space="preserve">Särskilda persontransporter/särskild kollektivtrafik </w:t>
            </w:r>
          </w:p>
        </w:tc>
      </w:tr>
      <w:tr w:rsidR="0007357F" w:rsidRPr="00F87BC4" w14:paraId="5C8638C9"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47292F1F"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Ambulans (bil/flyg/helikopter)</w:t>
            </w:r>
          </w:p>
        </w:tc>
      </w:tr>
      <w:tr w:rsidR="0007357F" w:rsidRPr="00F87BC4" w14:paraId="719967D7"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243D5F9F"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Egna godstransporter</w:t>
            </w:r>
          </w:p>
        </w:tc>
      </w:tr>
      <w:tr w:rsidR="0007357F" w:rsidRPr="00F87BC4" w14:paraId="2BFBC575"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25319200"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Inköpta godstransporter</w:t>
            </w:r>
          </w:p>
        </w:tc>
      </w:tr>
      <w:tr w:rsidR="0007357F" w:rsidRPr="00F87BC4" w14:paraId="59077942"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74D2D4B2"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Betalda patientresor</w:t>
            </w:r>
          </w:p>
        </w:tc>
      </w:tr>
      <w:tr w:rsidR="0007357F" w:rsidRPr="00F87BC4" w14:paraId="28B148FC"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0EC3B584"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Ej betalda patientresor</w:t>
            </w:r>
          </w:p>
        </w:tc>
      </w:tr>
      <w:tr w:rsidR="0007357F" w:rsidRPr="00F87BC4" w14:paraId="63E0A8C8"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3449AB9D"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Arbetspendling</w:t>
            </w:r>
          </w:p>
        </w:tc>
      </w:tr>
      <w:tr w:rsidR="0007357F" w:rsidRPr="00F87BC4" w14:paraId="72FBF356"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45377F5E"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Egenägda och leasade fordon</w:t>
            </w:r>
          </w:p>
        </w:tc>
      </w:tr>
      <w:tr w:rsidR="0007357F" w:rsidRPr="00F87BC4" w14:paraId="4E51AD86"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46B311F1"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Hyrbil</w:t>
            </w:r>
          </w:p>
        </w:tc>
      </w:tr>
      <w:tr w:rsidR="0007357F" w:rsidRPr="00F87BC4" w14:paraId="0AB5F4E8" w14:textId="77777777" w:rsidTr="002224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2E7ABA1C"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Privat bil i tjänst och förmånsbil</w:t>
            </w:r>
          </w:p>
        </w:tc>
      </w:tr>
      <w:tr w:rsidR="0007357F" w:rsidRPr="00F87BC4" w14:paraId="200F88F9" w14:textId="77777777" w:rsidTr="0022241F">
        <w:trPr>
          <w:trHeight w:val="20"/>
        </w:trPr>
        <w:tc>
          <w:tcPr>
            <w:cnfStyle w:val="001000000000" w:firstRow="0" w:lastRow="0" w:firstColumn="1" w:lastColumn="0" w:oddVBand="0" w:evenVBand="0" w:oddHBand="0" w:evenHBand="0" w:firstRowFirstColumn="0" w:firstRowLastColumn="0" w:lastRowFirstColumn="0" w:lastRowLastColumn="0"/>
            <w:tcW w:w="4819" w:type="dxa"/>
            <w:tcMar>
              <w:right w:w="57" w:type="dxa"/>
            </w:tcMar>
          </w:tcPr>
          <w:p w14:paraId="1CA77814" w14:textId="77777777" w:rsidR="0007357F" w:rsidRPr="00F87BC4" w:rsidRDefault="0007357F" w:rsidP="00F87BC4">
            <w:pPr>
              <w:rPr>
                <w:rFonts w:ascii="Calibri" w:hAnsi="Calibri" w:cs="Calibri"/>
                <w:b w:val="0"/>
                <w:bCs w:val="0"/>
                <w:color w:val="000000"/>
                <w:spacing w:val="0"/>
              </w:rPr>
            </w:pPr>
            <w:r w:rsidRPr="00F87BC4">
              <w:rPr>
                <w:rFonts w:ascii="Calibri" w:hAnsi="Calibri" w:cs="Calibri"/>
                <w:b w:val="0"/>
                <w:bCs w:val="0"/>
                <w:color w:val="000000"/>
              </w:rPr>
              <w:t>Arbetsmaskiner för naturbruk</w:t>
            </w:r>
          </w:p>
        </w:tc>
      </w:tr>
    </w:tbl>
    <w:p w14:paraId="67EE8092" w14:textId="77777777" w:rsidR="00CF195B" w:rsidRPr="00F87BC4" w:rsidRDefault="00CF195B" w:rsidP="00F87BC4">
      <w:pPr>
        <w:rPr>
          <w:rStyle w:val="Rubrik2Char"/>
          <w:sz w:val="20"/>
          <w:szCs w:val="20"/>
        </w:rPr>
      </w:pPr>
    </w:p>
    <w:p w14:paraId="7E161FE4" w14:textId="1D9C8CB5" w:rsidR="0022241F" w:rsidRPr="00F87BC4" w:rsidRDefault="0022241F" w:rsidP="00F87BC4">
      <w:r w:rsidRPr="00F87BC4">
        <w:t xml:space="preserve">Primärenergiberäkning utgår </w:t>
      </w:r>
      <w:r w:rsidR="008B0157" w:rsidRPr="00F87BC4">
        <w:t xml:space="preserve">från </w:t>
      </w:r>
      <w:r w:rsidR="003F7231" w:rsidRPr="00F87BC4">
        <w:t>ett antal viktningsfaktorer, vilka visas nedan.</w:t>
      </w:r>
      <w:r w:rsidRPr="00F87BC4">
        <w:t xml:space="preserve"> </w:t>
      </w:r>
      <w:r w:rsidR="00DC7306" w:rsidRPr="00F87BC4">
        <w:t>Viktningsfaktorerna är hämtade från "Boverkets byggregler (2011:6) – föreskrifter och allmänna</w:t>
      </w:r>
      <w:r w:rsidR="00957C70" w:rsidRPr="00F87BC4">
        <w:t xml:space="preserve"> </w:t>
      </w:r>
      <w:r w:rsidR="00DC7306" w:rsidRPr="00F87BC4">
        <w:t>råd, BBR. BFS 2011:6 med ändringar till och med BFS 2020:4</w:t>
      </w:r>
      <w:r w:rsidR="00913FC8" w:rsidRPr="00F87BC4">
        <w:t xml:space="preserve">. </w:t>
      </w:r>
      <w:r w:rsidR="00322AB1" w:rsidRPr="00F87BC4">
        <w:t>För drivmedel med inblandad biokomponent, har den viktningsfaktor som motsvarar majoriteten av bränslet valts. T.ex har Diesel med reduktionsplikt viktningsfaktor 1,8 (fossil olja) och E85 har viktningsfaktor 0,6 (motsv. etanol).</w:t>
      </w:r>
      <w:r w:rsidR="007D3DE7" w:rsidRPr="00F87BC4">
        <w:t xml:space="preserve"> Användaren har själv möjlighet att justera dessa faktorer i verktyget.</w:t>
      </w:r>
    </w:p>
    <w:tbl>
      <w:tblPr>
        <w:tblW w:w="6186" w:type="dxa"/>
        <w:tblLook w:val="04A0" w:firstRow="1" w:lastRow="0" w:firstColumn="1" w:lastColumn="0" w:noHBand="0" w:noVBand="1"/>
      </w:tblPr>
      <w:tblGrid>
        <w:gridCol w:w="4106"/>
        <w:gridCol w:w="2080"/>
      </w:tblGrid>
      <w:tr w:rsidR="00913FC8" w:rsidRPr="00F87BC4" w14:paraId="5FC7349E" w14:textId="77777777" w:rsidTr="00913FC8">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BE9CC"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Energibärare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28805EF2"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Viktningsfaktor (VFi)</w:t>
            </w:r>
          </w:p>
        </w:tc>
      </w:tr>
      <w:tr w:rsidR="00913FC8" w:rsidRPr="00F87BC4" w14:paraId="33FE35AC" w14:textId="77777777" w:rsidTr="00913FC8">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A6EE8"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El</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2BDC0D7D"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1,8</w:t>
            </w:r>
          </w:p>
        </w:tc>
      </w:tr>
      <w:tr w:rsidR="00913FC8" w:rsidRPr="00F87BC4" w14:paraId="4E59FFEB" w14:textId="77777777" w:rsidTr="00913FC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A5DE957"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Fjärrvärme</w:t>
            </w:r>
          </w:p>
        </w:tc>
        <w:tc>
          <w:tcPr>
            <w:tcW w:w="2080" w:type="dxa"/>
            <w:tcBorders>
              <w:top w:val="nil"/>
              <w:left w:val="nil"/>
              <w:bottom w:val="single" w:sz="4" w:space="0" w:color="auto"/>
              <w:right w:val="single" w:sz="4" w:space="0" w:color="auto"/>
            </w:tcBorders>
            <w:shd w:val="clear" w:color="auto" w:fill="auto"/>
            <w:noWrap/>
            <w:vAlign w:val="bottom"/>
            <w:hideMark/>
          </w:tcPr>
          <w:p w14:paraId="4C400058"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0,7</w:t>
            </w:r>
          </w:p>
        </w:tc>
      </w:tr>
      <w:tr w:rsidR="00913FC8" w:rsidRPr="00F87BC4" w14:paraId="703C6CDB" w14:textId="77777777" w:rsidTr="00913FC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DBBACF1"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Fjärrkyla</w:t>
            </w:r>
          </w:p>
        </w:tc>
        <w:tc>
          <w:tcPr>
            <w:tcW w:w="2080" w:type="dxa"/>
            <w:tcBorders>
              <w:top w:val="nil"/>
              <w:left w:val="nil"/>
              <w:bottom w:val="single" w:sz="4" w:space="0" w:color="auto"/>
              <w:right w:val="single" w:sz="4" w:space="0" w:color="auto"/>
            </w:tcBorders>
            <w:shd w:val="clear" w:color="auto" w:fill="auto"/>
            <w:noWrap/>
            <w:vAlign w:val="bottom"/>
            <w:hideMark/>
          </w:tcPr>
          <w:p w14:paraId="4BDCC9F4"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0,6</w:t>
            </w:r>
          </w:p>
        </w:tc>
      </w:tr>
      <w:tr w:rsidR="00913FC8" w:rsidRPr="00F87BC4" w14:paraId="4DAEC717" w14:textId="77777777" w:rsidTr="00913FC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928F7E1"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Fasta, flytande och gasformiga biobränslen</w:t>
            </w:r>
          </w:p>
        </w:tc>
        <w:tc>
          <w:tcPr>
            <w:tcW w:w="2080" w:type="dxa"/>
            <w:tcBorders>
              <w:top w:val="nil"/>
              <w:left w:val="nil"/>
              <w:bottom w:val="single" w:sz="4" w:space="0" w:color="auto"/>
              <w:right w:val="single" w:sz="4" w:space="0" w:color="auto"/>
            </w:tcBorders>
            <w:shd w:val="clear" w:color="auto" w:fill="auto"/>
            <w:noWrap/>
            <w:vAlign w:val="bottom"/>
            <w:hideMark/>
          </w:tcPr>
          <w:p w14:paraId="716869C6"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0,6</w:t>
            </w:r>
          </w:p>
        </w:tc>
      </w:tr>
      <w:tr w:rsidR="00913FC8" w:rsidRPr="00F87BC4" w14:paraId="528D4E36" w14:textId="77777777" w:rsidTr="00913FC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518A86E"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Fossil olja</w:t>
            </w:r>
          </w:p>
        </w:tc>
        <w:tc>
          <w:tcPr>
            <w:tcW w:w="2080" w:type="dxa"/>
            <w:tcBorders>
              <w:top w:val="nil"/>
              <w:left w:val="nil"/>
              <w:bottom w:val="single" w:sz="4" w:space="0" w:color="auto"/>
              <w:right w:val="single" w:sz="4" w:space="0" w:color="auto"/>
            </w:tcBorders>
            <w:shd w:val="clear" w:color="auto" w:fill="auto"/>
            <w:noWrap/>
            <w:vAlign w:val="bottom"/>
            <w:hideMark/>
          </w:tcPr>
          <w:p w14:paraId="19544FFD"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1,8</w:t>
            </w:r>
          </w:p>
        </w:tc>
      </w:tr>
      <w:tr w:rsidR="00913FC8" w:rsidRPr="00F87BC4" w14:paraId="26B25ED3" w14:textId="77777777" w:rsidTr="00913FC8">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1FE5B64"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Fossil gas</w:t>
            </w:r>
          </w:p>
        </w:tc>
        <w:tc>
          <w:tcPr>
            <w:tcW w:w="2080" w:type="dxa"/>
            <w:tcBorders>
              <w:top w:val="nil"/>
              <w:left w:val="nil"/>
              <w:bottom w:val="single" w:sz="4" w:space="0" w:color="auto"/>
              <w:right w:val="single" w:sz="4" w:space="0" w:color="auto"/>
            </w:tcBorders>
            <w:shd w:val="clear" w:color="auto" w:fill="auto"/>
            <w:noWrap/>
            <w:vAlign w:val="bottom"/>
            <w:hideMark/>
          </w:tcPr>
          <w:p w14:paraId="5FB10FA7" w14:textId="77777777" w:rsidR="00913FC8" w:rsidRPr="00F87BC4" w:rsidRDefault="00913FC8" w:rsidP="00F87BC4">
            <w:pPr>
              <w:rPr>
                <w:rFonts w:ascii="Calibri" w:eastAsia="Times New Roman" w:hAnsi="Calibri" w:cs="Calibri"/>
                <w:color w:val="000000"/>
                <w:spacing w:val="0"/>
                <w:sz w:val="22"/>
                <w:szCs w:val="22"/>
              </w:rPr>
            </w:pPr>
            <w:r w:rsidRPr="00F87BC4">
              <w:rPr>
                <w:rFonts w:ascii="Calibri" w:eastAsia="Times New Roman" w:hAnsi="Calibri" w:cs="Calibri"/>
                <w:color w:val="000000"/>
                <w:spacing w:val="0"/>
                <w:sz w:val="22"/>
                <w:szCs w:val="22"/>
              </w:rPr>
              <w:t>1,8</w:t>
            </w:r>
          </w:p>
        </w:tc>
      </w:tr>
    </w:tbl>
    <w:p w14:paraId="6D1277D2" w14:textId="77777777" w:rsidR="00B2263C" w:rsidRPr="00F87BC4" w:rsidRDefault="00B2263C" w:rsidP="00F87BC4">
      <w:pPr>
        <w:rPr>
          <w:rStyle w:val="Rubrik2Char"/>
        </w:rPr>
      </w:pPr>
    </w:p>
    <w:p w14:paraId="17C0C0DF" w14:textId="42B9CDA1" w:rsidR="00EA462D" w:rsidRPr="00F87BC4" w:rsidRDefault="003D4ADA" w:rsidP="00F87BC4">
      <w:bookmarkStart w:id="14" w:name="_Toc152920023"/>
      <w:r w:rsidRPr="00F87BC4">
        <w:rPr>
          <w:rStyle w:val="Rubrik2Char"/>
        </w:rPr>
        <w:t>Klimatkompensation</w:t>
      </w:r>
      <w:r w:rsidR="008D4413" w:rsidRPr="00F87BC4">
        <w:rPr>
          <w:rStyle w:val="Rubrik2Char"/>
        </w:rPr>
        <w:t xml:space="preserve"> och koldioxidinfångning</w:t>
      </w:r>
      <w:bookmarkEnd w:id="14"/>
      <w:r w:rsidRPr="00F87BC4">
        <w:br/>
      </w:r>
      <w:r w:rsidR="009E43F4" w:rsidRPr="00F87BC4">
        <w:t xml:space="preserve">Klimatkompensation ingår inte i något av scopen </w:t>
      </w:r>
      <w:r w:rsidR="008D4413" w:rsidRPr="00F87BC4">
        <w:t xml:space="preserve">enligt </w:t>
      </w:r>
      <w:r w:rsidR="00B26963" w:rsidRPr="00F87BC4">
        <w:t>GHG Protocol</w:t>
      </w:r>
      <w:r w:rsidR="008D4413" w:rsidRPr="00F87BC4">
        <w:t xml:space="preserve"> </w:t>
      </w:r>
      <w:r w:rsidR="009E43F4" w:rsidRPr="00F87BC4">
        <w:t xml:space="preserve">utan ska redovisas helt separat utanför scopen. Detta gäller även klimatkompensation som sker av </w:t>
      </w:r>
      <w:r w:rsidR="003F6E10" w:rsidRPr="00F87BC4">
        <w:t>r</w:t>
      </w:r>
      <w:r w:rsidR="009E43F4" w:rsidRPr="00F87BC4">
        <w:t xml:space="preserve">egionernas leverantörer, </w:t>
      </w:r>
      <w:r w:rsidR="006B671A" w:rsidRPr="00F87BC4">
        <w:t xml:space="preserve">till exempel </w:t>
      </w:r>
      <w:r w:rsidR="009E43F4" w:rsidRPr="00F87BC4">
        <w:t xml:space="preserve">klimatkompenserad fjärrvärme eller klimatkompenserad flygresa. </w:t>
      </w:r>
    </w:p>
    <w:p w14:paraId="58B3EB60" w14:textId="77777777" w:rsidR="009E43F4" w:rsidRPr="00F87BC4" w:rsidRDefault="009E43F4" w:rsidP="00F87BC4">
      <w:r w:rsidRPr="00F87BC4">
        <w:t xml:space="preserve">Utsläppen för fjärrvärmen och flygresan ska i dessa fall redovisas fullt ut i </w:t>
      </w:r>
      <w:r w:rsidR="00722C02" w:rsidRPr="00F87BC4">
        <w:t>klimatredovisningen</w:t>
      </w:r>
      <w:r w:rsidRPr="00F87BC4">
        <w:t xml:space="preserve"> och den klimatkompenserade volymen (ton CO2e) redovisas separat, helst också separerat från den eventuella klimatkompensation som </w:t>
      </w:r>
      <w:r w:rsidR="0056512A" w:rsidRPr="00F87BC4">
        <w:t>r</w:t>
      </w:r>
      <w:r w:rsidRPr="00F87BC4">
        <w:t xml:space="preserve">egionen själv köper. </w:t>
      </w:r>
    </w:p>
    <w:p w14:paraId="09599CD7" w14:textId="77777777" w:rsidR="009E43F4" w:rsidRPr="00F87BC4" w:rsidRDefault="009E43F4" w:rsidP="00F87BC4">
      <w:r w:rsidRPr="00F87BC4">
        <w:t>Koldioxidinfångning i den egna värdekedjan, t</w:t>
      </w:r>
      <w:r w:rsidR="00A6779C" w:rsidRPr="00F87BC4">
        <w:t xml:space="preserve">ill exempel </w:t>
      </w:r>
      <w:r w:rsidRPr="00F87BC4">
        <w:t>om fjärrvärmen produceras med anläggningar utrustade med så kallad CCS (carbon capture and storage) redovisas i dagsläget separat, men Greenhouse Gas Protocol arbetar med framtagandet av en vägledning kring om och hur koldioxidinfångningen påverkar utsläppen som redovisas i scope 1</w:t>
      </w:r>
      <w:r w:rsidR="006B671A" w:rsidRPr="00F87BC4">
        <w:t xml:space="preserve"> till </w:t>
      </w:r>
      <w:r w:rsidRPr="00F87BC4">
        <w:t>3.</w:t>
      </w:r>
      <w:r w:rsidR="00A6779C" w:rsidRPr="00F87BC4">
        <w:t xml:space="preserve"> Därmed kan dessa rekommendationer komma att ändras framöver. </w:t>
      </w:r>
    </w:p>
    <w:p w14:paraId="4DE2AB36" w14:textId="77777777" w:rsidR="000A6F28" w:rsidRPr="00F87BC4" w:rsidRDefault="000A6F28" w:rsidP="00F87BC4">
      <w:r w:rsidRPr="00F87BC4">
        <w:t xml:space="preserve">Upptag av koldioxid i skog ingår inte i dagsläget. </w:t>
      </w:r>
      <w:r w:rsidR="00F80AEB" w:rsidRPr="00F87BC4">
        <w:t xml:space="preserve">Greenhouse Gas Protocol lanserar under 2022 en standard för </w:t>
      </w:r>
      <w:r w:rsidR="001E4F13" w:rsidRPr="00F87BC4">
        <w:t>koldioxidupptag och markförändring</w:t>
      </w:r>
      <w:r w:rsidR="008C181D" w:rsidRPr="00F87BC4">
        <w:t xml:space="preserve"> och de</w:t>
      </w:r>
      <w:r w:rsidR="00981E8E" w:rsidRPr="00F87BC4">
        <w:t>nna typ av beräkningar kan</w:t>
      </w:r>
      <w:r w:rsidR="0086595E" w:rsidRPr="00F87BC4">
        <w:t xml:space="preserve"> därför</w:t>
      </w:r>
      <w:r w:rsidR="00981E8E" w:rsidRPr="00F87BC4">
        <w:t xml:space="preserve"> komma att inkluderas i framtid</w:t>
      </w:r>
      <w:r w:rsidR="006B2F90" w:rsidRPr="00F87BC4">
        <w:t>a ut</w:t>
      </w:r>
      <w:r w:rsidR="0086595E" w:rsidRPr="00F87BC4">
        <w:t xml:space="preserve">veckling av verktyget. </w:t>
      </w:r>
      <w:r w:rsidR="008874A3" w:rsidRPr="00F87BC4">
        <w:t xml:space="preserve">Om regionen vill redovisa </w:t>
      </w:r>
      <w:r w:rsidR="001A60D9" w:rsidRPr="00F87BC4">
        <w:t>koldioxidupptag från skogen bör detta ske separa</w:t>
      </w:r>
      <w:r w:rsidR="009417EC" w:rsidRPr="00F87BC4">
        <w:t>t från redovisning enligt denna vägledning i nuläget.</w:t>
      </w:r>
      <w:r w:rsidR="00F1001D" w:rsidRPr="00F87BC4">
        <w:t xml:space="preserve"> </w:t>
      </w:r>
    </w:p>
    <w:p w14:paraId="0BCF1EEC" w14:textId="5AB09AF5" w:rsidR="003D4ADA" w:rsidRDefault="00787962" w:rsidP="00F87BC4">
      <w:hyperlink r:id="rId22" w:history="1">
        <w:r w:rsidR="003D4ADA" w:rsidRPr="00F87BC4">
          <w:rPr>
            <w:rStyle w:val="Hyperlnk"/>
          </w:rPr>
          <w:t>Klimatkommunerna</w:t>
        </w:r>
      </w:hyperlink>
      <w:r w:rsidR="003D4ADA" w:rsidRPr="00F87BC4">
        <w:t xml:space="preserve"> har gjort</w:t>
      </w:r>
      <w:r w:rsidR="003D4ADA">
        <w:t xml:space="preserve"> en kunskapssammanställning inom </w:t>
      </w:r>
      <w:r w:rsidR="000A6F28">
        <w:t>kolbindning</w:t>
      </w:r>
      <w:r w:rsidR="003D4ADA">
        <w:rPr>
          <w:rStyle w:val="Fotnotsreferens"/>
        </w:rPr>
        <w:footnoteReference w:id="2"/>
      </w:r>
      <w:r w:rsidR="003D4ADA">
        <w:t xml:space="preserve"> .</w:t>
      </w:r>
    </w:p>
    <w:p w14:paraId="54622F6F" w14:textId="77777777" w:rsidR="003D4ADA" w:rsidRPr="003D4ADA" w:rsidRDefault="008D4413" w:rsidP="00116F6B">
      <w:pPr>
        <w:pStyle w:val="Rubrik1"/>
      </w:pPr>
      <w:bookmarkStart w:id="15" w:name="_Toc152920024"/>
      <w:r>
        <w:t>Användning av verktyget</w:t>
      </w:r>
      <w:bookmarkEnd w:id="15"/>
    </w:p>
    <w:p w14:paraId="55C28E43" w14:textId="77777777" w:rsidR="001A6152" w:rsidRDefault="001A6152" w:rsidP="008A70A4">
      <w:pPr>
        <w:pStyle w:val="Rubrik2"/>
      </w:pPr>
      <w:bookmarkStart w:id="16" w:name="_Toc152920025"/>
      <w:r>
        <w:t>Inmatning</w:t>
      </w:r>
      <w:bookmarkEnd w:id="16"/>
    </w:p>
    <w:p w14:paraId="23D8917C" w14:textId="77777777" w:rsidR="001A6152" w:rsidRDefault="001A6152" w:rsidP="001A6152">
      <w:r>
        <w:t>Inmatning görs på ett</w:t>
      </w:r>
      <w:r w:rsidR="0081281D">
        <w:t xml:space="preserve"> </w:t>
      </w:r>
      <w:r>
        <w:t xml:space="preserve">antal flikar </w:t>
      </w:r>
      <w:r w:rsidR="005E0EA6">
        <w:t>utifrån ett antal verksamhetsområden och inköpskategorier som vanligen har en tydlig koppling till klimatpåverkan och klimatarbete.</w:t>
      </w:r>
      <w:r>
        <w:t xml:space="preserve"> Se</w:t>
      </w:r>
      <w:r w:rsidR="001B1180">
        <w:t xml:space="preserve"> uppdelning i</w:t>
      </w:r>
      <w:r>
        <w:t xml:space="preserve"> n</w:t>
      </w:r>
      <w:r w:rsidR="005E0EA6">
        <w:t>ästa kapitel.</w:t>
      </w:r>
    </w:p>
    <w:p w14:paraId="4652002A" w14:textId="77777777" w:rsidR="001A6152" w:rsidRDefault="008168FD" w:rsidP="005E0EA6">
      <w:r>
        <w:t>Lägg märke till att b</w:t>
      </w:r>
      <w:r w:rsidR="001A6152">
        <w:t>eräkningsverktyget ger möjligheter att välja egna utsläppsvärden eller ange volymsiffror som kombineras med ingående schabloniserade värden för riket och olika produkte</w:t>
      </w:r>
      <w:r w:rsidR="0081281D">
        <w:t xml:space="preserve">r. </w:t>
      </w:r>
      <w:r w:rsidR="0081281D" w:rsidRPr="00D221FD">
        <w:rPr>
          <w:b/>
          <w:bCs/>
        </w:rPr>
        <w:t xml:space="preserve">Om regionen har samlade värden eller väljer en schabloniserad </w:t>
      </w:r>
      <w:r w:rsidR="005E0EA6" w:rsidRPr="00D221FD">
        <w:rPr>
          <w:b/>
          <w:bCs/>
        </w:rPr>
        <w:t>omräkning räcker det ofta att fylla i en rad</w:t>
      </w:r>
      <w:r w:rsidR="005E0EA6">
        <w:t xml:space="preserve">. </w:t>
      </w:r>
      <w:r w:rsidR="0081281D">
        <w:t>Ofta finns många rader för att möjliggöra inmatning</w:t>
      </w:r>
      <w:r w:rsidR="005E0EA6">
        <w:t xml:space="preserve"> av mer detaljerade data med olika tillhörande utsläppsfaktorer. </w:t>
      </w:r>
    </w:p>
    <w:p w14:paraId="52DD14FD" w14:textId="77777777" w:rsidR="005E0EA6" w:rsidRDefault="005E0EA6" w:rsidP="005E0EA6">
      <w:r>
        <w:t>Raderna har i flera fall rullister för alternativa beräkningar och utsläppsfaktorer.</w:t>
      </w:r>
    </w:p>
    <w:p w14:paraId="14D65D38" w14:textId="77777777" w:rsidR="008339DF" w:rsidRPr="004353F3" w:rsidRDefault="008339DF" w:rsidP="008339DF">
      <w:pPr>
        <w:spacing w:after="0"/>
        <w:rPr>
          <w:b/>
          <w:iCs/>
        </w:rPr>
      </w:pPr>
      <w:r w:rsidRPr="004353F3">
        <w:rPr>
          <w:b/>
          <w:iCs/>
        </w:rPr>
        <w:t>Förvaltningsspecifik inmatning</w:t>
      </w:r>
    </w:p>
    <w:p w14:paraId="7EC2E024" w14:textId="326D5E71" w:rsidR="008339DF" w:rsidRPr="00C53FA5" w:rsidRDefault="008339DF" w:rsidP="008339DF">
      <w:pPr>
        <w:spacing w:after="0"/>
        <w:rPr>
          <w:iCs/>
        </w:rPr>
      </w:pPr>
      <w:r w:rsidRPr="004353F3">
        <w:rPr>
          <w:iCs/>
        </w:rPr>
        <w:t xml:space="preserve">För varje post är det möjligt att mata in förvaltningsspecifik data. Detta görs genom att gå längst till höger på postens flik. Förvaltningar för vilka data kan matas in anges i flik ”Generell information”. </w:t>
      </w:r>
      <w:r w:rsidR="00FC378F" w:rsidRPr="004353F3">
        <w:rPr>
          <w:iCs/>
        </w:rPr>
        <w:t xml:space="preserve">För varje kategori </w:t>
      </w:r>
      <w:r w:rsidR="00424DB0" w:rsidRPr="004353F3">
        <w:rPr>
          <w:iCs/>
        </w:rPr>
        <w:t xml:space="preserve">finns ett antal fördelningsnycklar. Dessa kan användas för att dela upp imatning </w:t>
      </w:r>
      <w:r w:rsidR="00411EA7" w:rsidRPr="004353F3">
        <w:rPr>
          <w:iCs/>
        </w:rPr>
        <w:t xml:space="preserve">på hela regionen på de olika förvaltningarna utifrån antal anställda, </w:t>
      </w:r>
      <w:r w:rsidR="0037270A" w:rsidRPr="004353F3">
        <w:rPr>
          <w:iCs/>
        </w:rPr>
        <w:t>lokalarea för verksamhet eller omsättning.</w:t>
      </w:r>
      <w:r w:rsidR="00F85F5A" w:rsidRPr="004353F3">
        <w:rPr>
          <w:iCs/>
        </w:rPr>
        <w:t xml:space="preserve"> Observera att inmatning måste ske manuellt, och fördelningsnyckel g</w:t>
      </w:r>
      <w:r w:rsidR="004C3A45" w:rsidRPr="004353F3">
        <w:rPr>
          <w:iCs/>
        </w:rPr>
        <w:t xml:space="preserve">er en möjlighet att själv göra denna manuella inmatning. </w:t>
      </w:r>
      <w:r w:rsidRPr="004353F3">
        <w:rPr>
          <w:iCs/>
        </w:rPr>
        <w:t>Observera att när inmatning är klar måste datakällor uppdateras. Detta görs via Data-&gt; Uppdatera uppe i menyraden i Excel.</w:t>
      </w:r>
      <w:r w:rsidR="00796F0A" w:rsidRPr="004353F3">
        <w:rPr>
          <w:iCs/>
        </w:rPr>
        <w:t xml:space="preserve"> För mer information om förvaltningsspecifik inmatning, se instruktioner i verktyget.</w:t>
      </w:r>
    </w:p>
    <w:p w14:paraId="5806B83A" w14:textId="77777777" w:rsidR="008339DF" w:rsidRPr="001A6152" w:rsidRDefault="008339DF" w:rsidP="005E0EA6"/>
    <w:p w14:paraId="067AFD90" w14:textId="77777777" w:rsidR="00DC3573" w:rsidRDefault="008D4413" w:rsidP="008A70A4">
      <w:pPr>
        <w:pStyle w:val="Rubrik2"/>
      </w:pPr>
      <w:bookmarkStart w:id="17" w:name="_Toc152920026"/>
      <w:r>
        <w:t>Komplettering med</w:t>
      </w:r>
      <w:r w:rsidR="009B1106">
        <w:t xml:space="preserve"> klimatberäkningar från</w:t>
      </w:r>
      <w:r>
        <w:t xml:space="preserve"> </w:t>
      </w:r>
      <w:r w:rsidR="00DC3573">
        <w:t>tidigare år</w:t>
      </w:r>
      <w:bookmarkEnd w:id="17"/>
    </w:p>
    <w:p w14:paraId="375E3403" w14:textId="77777777" w:rsidR="009F4320" w:rsidRDefault="009F4320" w:rsidP="009F4320">
      <w:r>
        <w:t xml:space="preserve">I de fall </w:t>
      </w:r>
      <w:r w:rsidR="007B5970">
        <w:t xml:space="preserve">regionen vill inkludera eller justera år innan verktyget börjat användas </w:t>
      </w:r>
      <w:r w:rsidR="00114127">
        <w:t>finns tre olika tillvägagångssätt</w:t>
      </w:r>
      <w:r w:rsidR="004E3A44">
        <w:t xml:space="preserve">. </w:t>
      </w:r>
      <w:r w:rsidR="004E3A44" w:rsidRPr="004E3A44">
        <w:t>S</w:t>
      </w:r>
      <w:r w:rsidR="00D221FD" w:rsidRPr="004E3A44">
        <w:t xml:space="preserve">amtliga bygger på att beräkningen görs i en egen excelfil </w:t>
      </w:r>
      <w:r w:rsidR="0061268C" w:rsidRPr="004E3A44">
        <w:t>för respektive</w:t>
      </w:r>
      <w:r w:rsidR="00D221FD" w:rsidRPr="004E3A44">
        <w:t xml:space="preserve"> å</w:t>
      </w:r>
      <w:r w:rsidR="004E3A44" w:rsidRPr="004E3A44">
        <w:t>r</w:t>
      </w:r>
      <w:r w:rsidR="004E3A44">
        <w:t>. De tre tillvägagångsätten är:</w:t>
      </w:r>
    </w:p>
    <w:p w14:paraId="33FE217F" w14:textId="77777777" w:rsidR="00114127" w:rsidRDefault="00114127" w:rsidP="00114127">
      <w:pPr>
        <w:pStyle w:val="Liststycke"/>
        <w:numPr>
          <w:ilvl w:val="0"/>
          <w:numId w:val="2"/>
        </w:numPr>
      </w:pPr>
      <w:r>
        <w:t xml:space="preserve">Lägga in tidigare beräknade utsläppsnivåer i scope 1, scope 2 och scope </w:t>
      </w:r>
      <w:r w:rsidR="00C23A24">
        <w:t>3</w:t>
      </w:r>
      <w:r>
        <w:t xml:space="preserve">. </w:t>
      </w:r>
    </w:p>
    <w:p w14:paraId="3757C6C6" w14:textId="77777777" w:rsidR="00BE67E4" w:rsidRDefault="0039351A" w:rsidP="00114127">
      <w:pPr>
        <w:pStyle w:val="Liststycke"/>
        <w:numPr>
          <w:ilvl w:val="0"/>
          <w:numId w:val="2"/>
        </w:numPr>
      </w:pPr>
      <w:r>
        <w:t xml:space="preserve">Lägga in aktivitetsdata från året och </w:t>
      </w:r>
      <w:r w:rsidR="00BE67E4">
        <w:t xml:space="preserve">justerade utsläppsfaktorer som avspeglar det aktuella året. </w:t>
      </w:r>
    </w:p>
    <w:p w14:paraId="3D717844" w14:textId="77777777" w:rsidR="00114127" w:rsidRDefault="00AA19C7" w:rsidP="00114127">
      <w:pPr>
        <w:pStyle w:val="Liststycke"/>
        <w:numPr>
          <w:ilvl w:val="0"/>
          <w:numId w:val="2"/>
        </w:numPr>
      </w:pPr>
      <w:r>
        <w:t xml:space="preserve">Lägga in aktivitetsdata </w:t>
      </w:r>
      <w:r w:rsidR="0039351A">
        <w:t xml:space="preserve">från året och använda de utsläppsfaktorer som finns tillgängliga i verktyget. </w:t>
      </w:r>
    </w:p>
    <w:p w14:paraId="451F967B" w14:textId="77777777" w:rsidR="00E403A5" w:rsidRPr="009F4320" w:rsidRDefault="00CF51AD" w:rsidP="00E403A5">
      <w:r>
        <w:t xml:space="preserve">I verktyget finns det möjlighet att kombinera de olika metoderna, exempelvis om </w:t>
      </w:r>
      <w:r w:rsidR="00A9382C">
        <w:t xml:space="preserve">regionen har några, men inte alla, utsläppsfaktorer från det aktuella året. </w:t>
      </w:r>
    </w:p>
    <w:p w14:paraId="67DCB4FD" w14:textId="77777777" w:rsidR="005257E8" w:rsidRDefault="001A6152" w:rsidP="008A70A4">
      <w:pPr>
        <w:pStyle w:val="Rubrik2"/>
      </w:pPr>
      <w:bookmarkStart w:id="18" w:name="_Toc152920027"/>
      <w:r>
        <w:t xml:space="preserve">Presentation av </w:t>
      </w:r>
      <w:r w:rsidR="000C3958" w:rsidRPr="002B3B02">
        <w:t>resultat</w:t>
      </w:r>
      <w:r w:rsidR="005B169D" w:rsidRPr="002B3B02">
        <w:t>et</w:t>
      </w:r>
      <w:bookmarkEnd w:id="18"/>
    </w:p>
    <w:p w14:paraId="1918329E" w14:textId="77777777" w:rsidR="00F83E37" w:rsidRPr="00EF088B" w:rsidRDefault="00F83E37" w:rsidP="00EF088B">
      <w:r>
        <w:t xml:space="preserve">Resultatet </w:t>
      </w:r>
      <w:r w:rsidR="00321716">
        <w:t xml:space="preserve">av klimatberäkningarna </w:t>
      </w:r>
      <w:r>
        <w:t xml:space="preserve">presenteras i </w:t>
      </w:r>
      <w:r w:rsidR="00822E49">
        <w:t xml:space="preserve">fliken ”Resultat” som </w:t>
      </w:r>
      <w:r>
        <w:t xml:space="preserve">ett antal tabeller </w:t>
      </w:r>
      <w:r w:rsidR="001B5AD6">
        <w:t>och fi</w:t>
      </w:r>
      <w:r w:rsidR="00A41C78">
        <w:t xml:space="preserve">gurer </w:t>
      </w:r>
      <w:r>
        <w:t>som redovisar regionens utsläpp</w:t>
      </w:r>
      <w:r w:rsidR="003303F2">
        <w:t>:</w:t>
      </w:r>
      <w:r>
        <w:t xml:space="preserve"> </w:t>
      </w:r>
    </w:p>
    <w:p w14:paraId="505A8FAB" w14:textId="77777777" w:rsidR="003303F2" w:rsidRPr="00EF088B" w:rsidRDefault="003303F2" w:rsidP="00953BBF">
      <w:pPr>
        <w:pStyle w:val="Liststycke"/>
        <w:numPr>
          <w:ilvl w:val="0"/>
          <w:numId w:val="12"/>
        </w:numPr>
      </w:pPr>
      <w:r w:rsidRPr="00953BBF">
        <w:rPr>
          <w:b/>
        </w:rPr>
        <w:t xml:space="preserve">Tabell 1 – </w:t>
      </w:r>
      <w:r w:rsidR="00722C02">
        <w:rPr>
          <w:b/>
        </w:rPr>
        <w:t>Klimatredovisning</w:t>
      </w:r>
      <w:r>
        <w:br/>
        <w:t xml:space="preserve">Här presenteras resultatet </w:t>
      </w:r>
      <w:r w:rsidR="008B3ACB">
        <w:t xml:space="preserve">enligt de </w:t>
      </w:r>
      <w:r w:rsidR="005E0EA6">
        <w:t xml:space="preserve">verksamhetsområden och </w:t>
      </w:r>
      <w:r w:rsidR="008B3ACB">
        <w:t xml:space="preserve">rubriker som återfinns i </w:t>
      </w:r>
      <w:r w:rsidR="0081281D">
        <w:t xml:space="preserve">nästa kapitel av </w:t>
      </w:r>
      <w:r w:rsidR="008B3ACB">
        <w:t>de</w:t>
      </w:r>
      <w:r w:rsidR="0081281D">
        <w:t>nna vägledning</w:t>
      </w:r>
      <w:r w:rsidR="00344921">
        <w:t>.</w:t>
      </w:r>
      <w:r w:rsidR="000668E9">
        <w:t xml:space="preserve"> </w:t>
      </w:r>
      <w:r w:rsidR="00B40314">
        <w:t xml:space="preserve">Resultatet </w:t>
      </w:r>
      <w:r w:rsidR="007266C8">
        <w:t>särskiljer utsläpp från fastighetsdrift och utsläpp från nybyggnation och liknande</w:t>
      </w:r>
      <w:r w:rsidR="00275E94">
        <w:t>. Resultaten redovisas både inklusive och exklusive utsläpp från kapitalplaceringar.</w:t>
      </w:r>
    </w:p>
    <w:p w14:paraId="3D467CC5" w14:textId="77777777" w:rsidR="000668E9" w:rsidRDefault="000668E9" w:rsidP="00953BBF">
      <w:pPr>
        <w:pStyle w:val="Liststycke"/>
        <w:numPr>
          <w:ilvl w:val="0"/>
          <w:numId w:val="12"/>
        </w:numPr>
      </w:pPr>
      <w:r w:rsidRPr="00953BBF">
        <w:rPr>
          <w:b/>
        </w:rPr>
        <w:t xml:space="preserve">Tabell 2 </w:t>
      </w:r>
      <w:r w:rsidR="00750CFF" w:rsidRPr="00953BBF">
        <w:rPr>
          <w:b/>
        </w:rPr>
        <w:t>–</w:t>
      </w:r>
      <w:r w:rsidRPr="00953BBF">
        <w:rPr>
          <w:b/>
        </w:rPr>
        <w:t xml:space="preserve"> </w:t>
      </w:r>
      <w:r w:rsidR="00750CFF" w:rsidRPr="00953BBF">
        <w:rPr>
          <w:b/>
        </w:rPr>
        <w:t>Redovisning</w:t>
      </w:r>
      <w:r w:rsidR="004D4A08" w:rsidRPr="00953BBF">
        <w:rPr>
          <w:b/>
        </w:rPr>
        <w:t xml:space="preserve"> av </w:t>
      </w:r>
      <w:r w:rsidR="005E0EA6">
        <w:rPr>
          <w:b/>
        </w:rPr>
        <w:t xml:space="preserve">energi </w:t>
      </w:r>
      <w:r w:rsidR="004D4A08">
        <w:br/>
        <w:t xml:space="preserve">Här presenteras resultatet för </w:t>
      </w:r>
      <w:r w:rsidR="005E0EA6">
        <w:t>köpt energi</w:t>
      </w:r>
      <w:r w:rsidR="00DD5E2E">
        <w:t xml:space="preserve"> i</w:t>
      </w:r>
      <w:r w:rsidR="005E0EA6">
        <w:t xml:space="preserve"> </w:t>
      </w:r>
      <w:r w:rsidR="004D4A08">
        <w:t>scope 2</w:t>
      </w:r>
      <w:r w:rsidR="00953BBF">
        <w:t xml:space="preserve"> beräknat enligt både market based och location-based method. </w:t>
      </w:r>
    </w:p>
    <w:p w14:paraId="542D6FC0" w14:textId="77777777" w:rsidR="006D6FE2" w:rsidRDefault="006D6FE2" w:rsidP="006D6FE2">
      <w:pPr>
        <w:pStyle w:val="Liststycke"/>
        <w:numPr>
          <w:ilvl w:val="0"/>
          <w:numId w:val="12"/>
        </w:numPr>
      </w:pPr>
      <w:r>
        <w:rPr>
          <w:b/>
        </w:rPr>
        <w:t>Tabell 3 – Biogena utsläpp</w:t>
      </w:r>
    </w:p>
    <w:p w14:paraId="6E24FEF3" w14:textId="77777777" w:rsidR="00B9207F" w:rsidRDefault="003052EF" w:rsidP="003052EF">
      <w:pPr>
        <w:pStyle w:val="Liststycke"/>
      </w:pPr>
      <w:r w:rsidRPr="00091569">
        <w:t xml:space="preserve">Här presenteras direkta biogena utsläpp </w:t>
      </w:r>
      <w:r w:rsidR="00091569" w:rsidRPr="00091569">
        <w:rPr>
          <w:bCs/>
        </w:rPr>
        <w:t>som sker i scope 1.</w:t>
      </w:r>
      <w:r w:rsidR="00F02ED8" w:rsidRPr="00F02ED8">
        <w:t xml:space="preserve"> </w:t>
      </w:r>
      <w:r w:rsidR="00F02ED8">
        <w:t xml:space="preserve">Med biogent koldioxidutsläpp menas koldioxidutsläpp från biobaserade bränslen. </w:t>
      </w:r>
      <w:r w:rsidR="006C1A21">
        <w:t xml:space="preserve">Dessa ger upphov till koldioxid under förbränning, men exkluderas </w:t>
      </w:r>
      <w:r w:rsidR="00BA4942">
        <w:t xml:space="preserve">i beräkningar enligt </w:t>
      </w:r>
      <w:r w:rsidR="00F61378">
        <w:t>Greenhouse gas protocol</w:t>
      </w:r>
      <w:r w:rsidR="00BA4942">
        <w:t>.</w:t>
      </w:r>
    </w:p>
    <w:p w14:paraId="1C55A731" w14:textId="77777777" w:rsidR="00091569" w:rsidRPr="00AC315D" w:rsidRDefault="00091569" w:rsidP="00D259DC">
      <w:pPr>
        <w:pStyle w:val="Liststycke"/>
        <w:numPr>
          <w:ilvl w:val="0"/>
          <w:numId w:val="12"/>
        </w:numPr>
        <w:rPr>
          <w:b/>
        </w:rPr>
      </w:pPr>
      <w:r w:rsidRPr="00AC315D">
        <w:rPr>
          <w:b/>
        </w:rPr>
        <w:t>Tabell 4 – Avfall</w:t>
      </w:r>
    </w:p>
    <w:p w14:paraId="1CFBC078" w14:textId="77777777" w:rsidR="00091569" w:rsidRPr="00091569" w:rsidRDefault="00BE6050" w:rsidP="003052EF">
      <w:pPr>
        <w:pStyle w:val="Liststycke"/>
        <w:rPr>
          <w:bCs/>
        </w:rPr>
      </w:pPr>
      <w:r>
        <w:rPr>
          <w:bCs/>
        </w:rPr>
        <w:t>Här presenteras utsläpp till följd av</w:t>
      </w:r>
      <w:r w:rsidR="00546F6D">
        <w:rPr>
          <w:bCs/>
        </w:rPr>
        <w:t xml:space="preserve"> hantering av</w:t>
      </w:r>
      <w:r>
        <w:rPr>
          <w:bCs/>
        </w:rPr>
        <w:t xml:space="preserve"> avfall</w:t>
      </w:r>
      <w:r w:rsidRPr="002D73ED">
        <w:rPr>
          <w:bCs/>
        </w:rPr>
        <w:t xml:space="preserve">. </w:t>
      </w:r>
    </w:p>
    <w:p w14:paraId="011381E1" w14:textId="77777777" w:rsidR="00344921" w:rsidRPr="00EF088B" w:rsidRDefault="00344921" w:rsidP="00953BBF">
      <w:pPr>
        <w:pStyle w:val="Liststycke"/>
        <w:numPr>
          <w:ilvl w:val="0"/>
          <w:numId w:val="12"/>
        </w:numPr>
      </w:pPr>
      <w:r w:rsidRPr="00953BBF">
        <w:rPr>
          <w:b/>
        </w:rPr>
        <w:t xml:space="preserve">Tabell </w:t>
      </w:r>
      <w:r w:rsidR="008309A1">
        <w:rPr>
          <w:b/>
          <w:bCs/>
        </w:rPr>
        <w:t>5</w:t>
      </w:r>
      <w:r w:rsidRPr="00953BBF">
        <w:rPr>
          <w:b/>
        </w:rPr>
        <w:t xml:space="preserve"> </w:t>
      </w:r>
      <w:r w:rsidR="00554197" w:rsidRPr="00953BBF">
        <w:rPr>
          <w:b/>
        </w:rPr>
        <w:t>–</w:t>
      </w:r>
      <w:r w:rsidRPr="00953BBF">
        <w:rPr>
          <w:b/>
        </w:rPr>
        <w:t xml:space="preserve"> </w:t>
      </w:r>
      <w:r w:rsidR="00554197" w:rsidRPr="002D73ED">
        <w:rPr>
          <w:b/>
        </w:rPr>
        <w:t xml:space="preserve">Utsläpp </w:t>
      </w:r>
      <w:r w:rsidR="00E4702E" w:rsidRPr="002D73ED">
        <w:rPr>
          <w:b/>
        </w:rPr>
        <w:t xml:space="preserve">fördelat </w:t>
      </w:r>
      <w:r w:rsidR="002D73ED" w:rsidRPr="002D73ED">
        <w:rPr>
          <w:b/>
        </w:rPr>
        <w:t xml:space="preserve">i </w:t>
      </w:r>
      <w:r w:rsidR="00554197" w:rsidRPr="002D73ED">
        <w:rPr>
          <w:b/>
        </w:rPr>
        <w:t>scope</w:t>
      </w:r>
      <w:r w:rsidR="00554197" w:rsidRPr="002D73ED">
        <w:t xml:space="preserve"> </w:t>
      </w:r>
      <w:r w:rsidR="00E4702E" w:rsidRPr="002D73ED">
        <w:t>1-3</w:t>
      </w:r>
      <w:r w:rsidR="00554197">
        <w:br/>
        <w:t>Här presenteras resultatet fördelat på vilket scope de tillhör</w:t>
      </w:r>
    </w:p>
    <w:p w14:paraId="59E26EE3" w14:textId="77777777" w:rsidR="00673A18" w:rsidRDefault="00554197" w:rsidP="0018401F">
      <w:pPr>
        <w:pStyle w:val="Liststycke"/>
        <w:numPr>
          <w:ilvl w:val="0"/>
          <w:numId w:val="12"/>
        </w:numPr>
        <w:spacing w:after="0"/>
      </w:pPr>
      <w:r w:rsidRPr="00953BBF">
        <w:rPr>
          <w:b/>
        </w:rPr>
        <w:t xml:space="preserve">Tabell </w:t>
      </w:r>
      <w:r w:rsidR="008309A1">
        <w:rPr>
          <w:b/>
          <w:bCs/>
        </w:rPr>
        <w:t>6</w:t>
      </w:r>
      <w:r w:rsidRPr="00953BBF">
        <w:rPr>
          <w:b/>
        </w:rPr>
        <w:t xml:space="preserve"> – </w:t>
      </w:r>
      <w:r w:rsidR="00E4702E" w:rsidRPr="002D73ED">
        <w:rPr>
          <w:b/>
        </w:rPr>
        <w:t xml:space="preserve">Utsläpp per </w:t>
      </w:r>
      <w:r w:rsidR="002D73ED" w:rsidRPr="002D73ED">
        <w:rPr>
          <w:b/>
        </w:rPr>
        <w:t>k</w:t>
      </w:r>
      <w:r w:rsidRPr="002D73ED">
        <w:rPr>
          <w:b/>
        </w:rPr>
        <w:t xml:space="preserve">ategori </w:t>
      </w:r>
      <w:r w:rsidRPr="00953BBF">
        <w:rPr>
          <w:b/>
        </w:rPr>
        <w:t>i scope 3</w:t>
      </w:r>
      <w:r>
        <w:br/>
        <w:t xml:space="preserve">Här presenteras utsläppen i scope 3 </w:t>
      </w:r>
      <w:r w:rsidR="005B31F0">
        <w:t xml:space="preserve">fördelat på vilken kategori de tillhör enligt </w:t>
      </w:r>
      <w:r w:rsidR="009E43F4">
        <w:t>G</w:t>
      </w:r>
      <w:r w:rsidR="005B31F0">
        <w:t xml:space="preserve">reenhouse </w:t>
      </w:r>
      <w:r w:rsidR="00AA61C4">
        <w:t>G</w:t>
      </w:r>
      <w:r w:rsidR="005B31F0">
        <w:t xml:space="preserve">as </w:t>
      </w:r>
      <w:r w:rsidR="00AA61C4">
        <w:t>Protocol</w:t>
      </w:r>
      <w:r w:rsidR="005B31F0">
        <w:t xml:space="preserve">. </w:t>
      </w:r>
      <w:r w:rsidR="007B31A8">
        <w:t xml:space="preserve">Denna tabell kan vara </w:t>
      </w:r>
      <w:r w:rsidR="00EF1B06">
        <w:t>relevant</w:t>
      </w:r>
      <w:r w:rsidR="007B31A8">
        <w:t xml:space="preserve"> om regionen vill jämföra sig med en annan organisation som </w:t>
      </w:r>
      <w:r w:rsidR="00A93384">
        <w:t xml:space="preserve">också redovisar sina utsläpp enligt Greenhouse </w:t>
      </w:r>
      <w:r w:rsidR="00AA61C4">
        <w:t>G</w:t>
      </w:r>
      <w:r w:rsidR="00A93384">
        <w:t xml:space="preserve">as </w:t>
      </w:r>
      <w:r w:rsidR="00AA61C4">
        <w:t>Protocol</w:t>
      </w:r>
      <w:r w:rsidR="00A93384">
        <w:t>.</w:t>
      </w:r>
      <w:r w:rsidR="000D73EA">
        <w:t xml:space="preserve"> Kategoriseringen av denna tabell är justerad </w:t>
      </w:r>
      <w:r w:rsidR="002E7151">
        <w:t>i version 3</w:t>
      </w:r>
      <w:r w:rsidR="00C51A6A">
        <w:t xml:space="preserve"> av verktyg och vägledning. </w:t>
      </w:r>
      <w:r w:rsidR="00E13FE7">
        <w:t>En sammanställning av den förändrin</w:t>
      </w:r>
      <w:r w:rsidR="00430175">
        <w:t xml:space="preserve">g av kategorisering mellan versionerna visas i </w:t>
      </w:r>
      <w:r w:rsidR="00673A18">
        <w:t>tabellen nedan.</w:t>
      </w:r>
    </w:p>
    <w:p w14:paraId="3FA44AEC" w14:textId="77777777" w:rsidR="00673A18" w:rsidRPr="0018401F" w:rsidRDefault="00673A18" w:rsidP="00673A18">
      <w:pPr>
        <w:pStyle w:val="Liststycke"/>
        <w:rPr>
          <w:b/>
          <w:sz w:val="8"/>
          <w:szCs w:val="4"/>
        </w:rPr>
      </w:pPr>
    </w:p>
    <w:tbl>
      <w:tblPr>
        <w:tblStyle w:val="Rutntstabell4dekorfrg1"/>
        <w:tblW w:w="8931" w:type="dxa"/>
        <w:tblInd w:w="279" w:type="dxa"/>
        <w:tblLook w:val="04A0" w:firstRow="1" w:lastRow="0" w:firstColumn="1" w:lastColumn="0" w:noHBand="0" w:noVBand="1"/>
      </w:tblPr>
      <w:tblGrid>
        <w:gridCol w:w="2978"/>
        <w:gridCol w:w="2976"/>
        <w:gridCol w:w="142"/>
        <w:gridCol w:w="2835"/>
      </w:tblGrid>
      <w:tr w:rsidR="00CB63A3" w14:paraId="1B293E96" w14:textId="77777777" w:rsidTr="0018401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8" w:type="dxa"/>
          </w:tcPr>
          <w:p w14:paraId="58ADE57B" w14:textId="061A9FC7" w:rsidR="00CB63A3" w:rsidRPr="0018401F" w:rsidRDefault="00CB63A3" w:rsidP="00673A18">
            <w:pPr>
              <w:pStyle w:val="Liststycke"/>
              <w:ind w:left="0"/>
              <w:rPr>
                <w:sz w:val="14"/>
                <w:szCs w:val="14"/>
              </w:rPr>
            </w:pPr>
            <w:r w:rsidRPr="00F87BC4">
              <w:rPr>
                <w:sz w:val="14"/>
                <w:szCs w:val="14"/>
              </w:rPr>
              <w:t xml:space="preserve">Kategori i </w:t>
            </w:r>
            <w:r w:rsidR="000A00BC" w:rsidRPr="00F87BC4">
              <w:rPr>
                <w:color w:val="FF0000"/>
                <w:sz w:val="14"/>
                <w:szCs w:val="14"/>
              </w:rPr>
              <w:t>beräknings</w:t>
            </w:r>
            <w:r w:rsidRPr="00F87BC4">
              <w:rPr>
                <w:sz w:val="14"/>
                <w:szCs w:val="14"/>
              </w:rPr>
              <w:t>verktyg</w:t>
            </w:r>
            <w:r w:rsidR="000A00BC" w:rsidRPr="00F87BC4">
              <w:rPr>
                <w:sz w:val="14"/>
                <w:szCs w:val="14"/>
              </w:rPr>
              <w:t>et</w:t>
            </w:r>
          </w:p>
        </w:tc>
        <w:tc>
          <w:tcPr>
            <w:tcW w:w="3118" w:type="dxa"/>
            <w:gridSpan w:val="2"/>
          </w:tcPr>
          <w:p w14:paraId="25ED7920" w14:textId="1D9F74DF" w:rsidR="00CB63A3" w:rsidRPr="0018401F" w:rsidRDefault="00CB63A3" w:rsidP="00673A18">
            <w:pPr>
              <w:pStyle w:val="Liststycke"/>
              <w:ind w:left="0"/>
              <w:cnfStyle w:val="100000000000" w:firstRow="1" w:lastRow="0" w:firstColumn="0" w:lastColumn="0" w:oddVBand="0" w:evenVBand="0" w:oddHBand="0" w:evenHBand="0" w:firstRowFirstColumn="0" w:firstRowLastColumn="0" w:lastRowFirstColumn="0" w:lastRowLastColumn="0"/>
              <w:rPr>
                <w:sz w:val="14"/>
                <w:szCs w:val="14"/>
              </w:rPr>
            </w:pPr>
            <w:r w:rsidRPr="0018401F">
              <w:rPr>
                <w:sz w:val="14"/>
                <w:szCs w:val="14"/>
              </w:rPr>
              <w:t xml:space="preserve">GHG-kategorisering scope 3, </w:t>
            </w:r>
            <w:r w:rsidRPr="0018401F">
              <w:rPr>
                <w:sz w:val="14"/>
                <w:szCs w:val="14"/>
              </w:rPr>
              <w:br/>
              <w:t>verktyg</w:t>
            </w:r>
            <w:r w:rsidR="000A00BC">
              <w:rPr>
                <w:sz w:val="14"/>
                <w:szCs w:val="14"/>
              </w:rPr>
              <w:t>et</w:t>
            </w:r>
            <w:r w:rsidRPr="0018401F">
              <w:rPr>
                <w:sz w:val="14"/>
                <w:szCs w:val="14"/>
              </w:rPr>
              <w:t xml:space="preserve"> v.2</w:t>
            </w:r>
          </w:p>
        </w:tc>
        <w:tc>
          <w:tcPr>
            <w:tcW w:w="2835" w:type="dxa"/>
          </w:tcPr>
          <w:p w14:paraId="22499805" w14:textId="63D8E618" w:rsidR="00CB63A3" w:rsidRPr="0018401F" w:rsidRDefault="00CB63A3" w:rsidP="00673A18">
            <w:pPr>
              <w:pStyle w:val="Liststycke"/>
              <w:ind w:left="0"/>
              <w:cnfStyle w:val="100000000000" w:firstRow="1" w:lastRow="0" w:firstColumn="0" w:lastColumn="0" w:oddVBand="0" w:evenVBand="0" w:oddHBand="0" w:evenHBand="0" w:firstRowFirstColumn="0" w:firstRowLastColumn="0" w:lastRowFirstColumn="0" w:lastRowLastColumn="0"/>
              <w:rPr>
                <w:sz w:val="14"/>
                <w:szCs w:val="14"/>
              </w:rPr>
            </w:pPr>
            <w:r w:rsidRPr="0018401F">
              <w:rPr>
                <w:sz w:val="14"/>
                <w:szCs w:val="14"/>
              </w:rPr>
              <w:t xml:space="preserve">GHG-kategorisering scope 3, </w:t>
            </w:r>
            <w:r w:rsidRPr="0018401F">
              <w:rPr>
                <w:sz w:val="14"/>
                <w:szCs w:val="14"/>
              </w:rPr>
              <w:br/>
              <w:t>verktyg</w:t>
            </w:r>
            <w:r w:rsidR="000A00BC">
              <w:rPr>
                <w:sz w:val="14"/>
                <w:szCs w:val="14"/>
              </w:rPr>
              <w:t>et</w:t>
            </w:r>
            <w:r w:rsidRPr="0018401F">
              <w:rPr>
                <w:sz w:val="14"/>
                <w:szCs w:val="14"/>
              </w:rPr>
              <w:t xml:space="preserve"> v.3</w:t>
            </w:r>
          </w:p>
        </w:tc>
      </w:tr>
      <w:tr w:rsidR="002C290A" w14:paraId="50584532"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1852CDBF" w14:textId="5636738F" w:rsidR="002C290A" w:rsidRPr="004A1BF8" w:rsidRDefault="002C290A" w:rsidP="0018401F">
            <w:pPr>
              <w:pStyle w:val="Liststycke"/>
              <w:ind w:left="0" w:right="-55"/>
              <w:rPr>
                <w:b w:val="0"/>
                <w:bCs w:val="0"/>
                <w:sz w:val="12"/>
                <w:szCs w:val="12"/>
              </w:rPr>
            </w:pPr>
            <w:r w:rsidRPr="004A1BF8">
              <w:rPr>
                <w:b w:val="0"/>
                <w:bCs w:val="0"/>
                <w:sz w:val="12"/>
                <w:szCs w:val="12"/>
              </w:rPr>
              <w:t>El – egna fastigheter</w:t>
            </w:r>
          </w:p>
        </w:tc>
        <w:tc>
          <w:tcPr>
            <w:tcW w:w="2976" w:type="dxa"/>
            <w:tcMar>
              <w:right w:w="57" w:type="dxa"/>
            </w:tcMar>
          </w:tcPr>
          <w:p w14:paraId="76AAC408" w14:textId="2D889A1F" w:rsidR="002C290A" w:rsidRPr="004A1BF8" w:rsidRDefault="002C290A"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3BABD647" w14:textId="251D78A9" w:rsidR="002C290A" w:rsidRPr="004A1BF8" w:rsidRDefault="002C290A"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r>
      <w:tr w:rsidR="003419D0" w14:paraId="6F52D64B"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65636B19" w14:textId="538121DD" w:rsidR="003419D0" w:rsidRPr="003419D0" w:rsidRDefault="003419D0" w:rsidP="003419D0">
            <w:pPr>
              <w:pStyle w:val="Liststycke"/>
              <w:ind w:left="0" w:right="-55"/>
              <w:rPr>
                <w:b w:val="0"/>
                <w:bCs w:val="0"/>
                <w:sz w:val="12"/>
                <w:szCs w:val="12"/>
                <w:u w:val="single"/>
              </w:rPr>
            </w:pPr>
            <w:r w:rsidRPr="003419D0">
              <w:rPr>
                <w:b w:val="0"/>
                <w:bCs w:val="0"/>
                <w:sz w:val="12"/>
                <w:szCs w:val="12"/>
                <w:u w:val="single"/>
              </w:rPr>
              <w:t>El – hyrda fastigheter</w:t>
            </w:r>
          </w:p>
        </w:tc>
        <w:tc>
          <w:tcPr>
            <w:tcW w:w="2976" w:type="dxa"/>
            <w:tcMar>
              <w:right w:w="57" w:type="dxa"/>
            </w:tcMar>
          </w:tcPr>
          <w:p w14:paraId="0F19D690" w14:textId="6C8D5467" w:rsidR="003419D0" w:rsidRPr="003419D0" w:rsidRDefault="003419D0" w:rsidP="003419D0">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u w:val="single"/>
              </w:rPr>
            </w:pPr>
            <w:r w:rsidRPr="003419D0">
              <w:rPr>
                <w:sz w:val="12"/>
                <w:szCs w:val="12"/>
                <w:u w:val="single"/>
              </w:rPr>
              <w:t>3.8 Hyrda tillgångar</w:t>
            </w:r>
          </w:p>
        </w:tc>
        <w:tc>
          <w:tcPr>
            <w:tcW w:w="2977" w:type="dxa"/>
            <w:gridSpan w:val="2"/>
            <w:tcMar>
              <w:right w:w="57" w:type="dxa"/>
            </w:tcMar>
          </w:tcPr>
          <w:p w14:paraId="3210996A" w14:textId="53D4FE6D" w:rsidR="003419D0" w:rsidRPr="003419D0" w:rsidRDefault="003419D0" w:rsidP="003419D0">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u w:val="single"/>
              </w:rPr>
            </w:pPr>
            <w:r w:rsidRPr="003419D0">
              <w:rPr>
                <w:sz w:val="12"/>
                <w:szCs w:val="12"/>
                <w:u w:val="single"/>
              </w:rPr>
              <w:t>3.3 Energi- och bränslerelaterade utsläpp</w:t>
            </w:r>
          </w:p>
        </w:tc>
      </w:tr>
      <w:tr w:rsidR="002C290A" w14:paraId="25FC6D3A"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7F3FDD8" w14:textId="4F02A268" w:rsidR="002C290A" w:rsidRPr="004A1BF8" w:rsidRDefault="002C290A" w:rsidP="0018401F">
            <w:pPr>
              <w:pStyle w:val="Liststycke"/>
              <w:ind w:left="0" w:right="-55"/>
              <w:rPr>
                <w:b w:val="0"/>
                <w:bCs w:val="0"/>
                <w:sz w:val="12"/>
                <w:szCs w:val="12"/>
              </w:rPr>
            </w:pPr>
            <w:r w:rsidRPr="004A1BF8">
              <w:rPr>
                <w:b w:val="0"/>
                <w:bCs w:val="0"/>
                <w:sz w:val="12"/>
                <w:szCs w:val="12"/>
              </w:rPr>
              <w:t>Fjärrvärme/kyla – egna fastigheter</w:t>
            </w:r>
          </w:p>
        </w:tc>
        <w:tc>
          <w:tcPr>
            <w:tcW w:w="2976" w:type="dxa"/>
            <w:tcMar>
              <w:right w:w="57" w:type="dxa"/>
            </w:tcMar>
          </w:tcPr>
          <w:p w14:paraId="6C157292" w14:textId="04EBD5A7" w:rsidR="002C290A" w:rsidRPr="004A1BF8" w:rsidRDefault="002C290A"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465E3863" w14:textId="62A19672" w:rsidR="002C290A" w:rsidRPr="004A1BF8" w:rsidRDefault="002C290A"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r>
      <w:tr w:rsidR="003419D0" w14:paraId="5D16A888"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FF71898" w14:textId="4D32CF0B" w:rsidR="003419D0" w:rsidRPr="003419D0" w:rsidRDefault="003419D0" w:rsidP="003419D0">
            <w:pPr>
              <w:pStyle w:val="Liststycke"/>
              <w:ind w:left="0" w:right="-55"/>
              <w:rPr>
                <w:b w:val="0"/>
                <w:bCs w:val="0"/>
                <w:sz w:val="12"/>
                <w:szCs w:val="12"/>
                <w:u w:val="single"/>
              </w:rPr>
            </w:pPr>
            <w:r w:rsidRPr="003419D0">
              <w:rPr>
                <w:b w:val="0"/>
                <w:bCs w:val="0"/>
                <w:sz w:val="12"/>
                <w:szCs w:val="12"/>
                <w:u w:val="single"/>
              </w:rPr>
              <w:t>Fjärrvärme/kyla – hyrda fastigheter</w:t>
            </w:r>
          </w:p>
        </w:tc>
        <w:tc>
          <w:tcPr>
            <w:tcW w:w="2976" w:type="dxa"/>
            <w:tcMar>
              <w:right w:w="57" w:type="dxa"/>
            </w:tcMar>
          </w:tcPr>
          <w:p w14:paraId="2249CCDB" w14:textId="6670203D" w:rsidR="003419D0" w:rsidRPr="003419D0" w:rsidRDefault="003419D0" w:rsidP="003419D0">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u w:val="single"/>
              </w:rPr>
            </w:pPr>
            <w:r w:rsidRPr="003419D0">
              <w:rPr>
                <w:sz w:val="12"/>
                <w:szCs w:val="12"/>
                <w:u w:val="single"/>
              </w:rPr>
              <w:t>3.8 Hyrda tillgångar</w:t>
            </w:r>
          </w:p>
        </w:tc>
        <w:tc>
          <w:tcPr>
            <w:tcW w:w="2977" w:type="dxa"/>
            <w:gridSpan w:val="2"/>
            <w:tcMar>
              <w:right w:w="57" w:type="dxa"/>
            </w:tcMar>
          </w:tcPr>
          <w:p w14:paraId="257766D9" w14:textId="16CFE5C6" w:rsidR="003419D0" w:rsidRPr="003419D0" w:rsidRDefault="003419D0" w:rsidP="003419D0">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u w:val="single"/>
              </w:rPr>
            </w:pPr>
            <w:r w:rsidRPr="003419D0">
              <w:rPr>
                <w:sz w:val="12"/>
                <w:szCs w:val="12"/>
                <w:u w:val="single"/>
              </w:rPr>
              <w:t>3.3 Energi- och bränslerelaterade utsläpp</w:t>
            </w:r>
          </w:p>
        </w:tc>
      </w:tr>
      <w:tr w:rsidR="002C290A" w14:paraId="7FD85754"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494C5647" w14:textId="21DCAEC3" w:rsidR="002C290A" w:rsidRPr="004A1BF8" w:rsidRDefault="002C290A"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Uppvärmning med egen panna</w:t>
            </w:r>
          </w:p>
        </w:tc>
        <w:tc>
          <w:tcPr>
            <w:tcW w:w="2976" w:type="dxa"/>
            <w:tcMar>
              <w:right w:w="57" w:type="dxa"/>
            </w:tcMar>
          </w:tcPr>
          <w:p w14:paraId="1324CE1B" w14:textId="7691A351" w:rsidR="002C290A" w:rsidRPr="004A1BF8" w:rsidRDefault="002C290A"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1096B8B7" w14:textId="77A86B2E" w:rsidR="002C290A" w:rsidRPr="004A1BF8" w:rsidRDefault="002C290A"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r>
      <w:tr w:rsidR="002C290A" w14:paraId="06F1740C"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46C7724E" w14:textId="2A3BE565" w:rsidR="002C290A" w:rsidRPr="004A1BF8" w:rsidRDefault="002C290A"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Reservkraft</w:t>
            </w:r>
          </w:p>
        </w:tc>
        <w:tc>
          <w:tcPr>
            <w:tcW w:w="2976" w:type="dxa"/>
            <w:tcMar>
              <w:right w:w="57" w:type="dxa"/>
            </w:tcMar>
          </w:tcPr>
          <w:p w14:paraId="772A211F" w14:textId="4C334E7D" w:rsidR="002C290A" w:rsidRPr="004A1BF8" w:rsidRDefault="002C290A"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6C78F512" w14:textId="0FA2E4A4" w:rsidR="002C290A" w:rsidRPr="004A1BF8" w:rsidRDefault="002C290A"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r>
      <w:tr w:rsidR="00413C90" w14:paraId="679AA517"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16F5312E" w14:textId="02286958" w:rsidR="00413C90" w:rsidRPr="003419D0" w:rsidRDefault="00413C90" w:rsidP="00413C90">
            <w:pPr>
              <w:spacing w:line="240" w:lineRule="auto"/>
              <w:ind w:right="-55"/>
              <w:rPr>
                <w:rFonts w:ascii="Calibri" w:hAnsi="Calibri" w:cs="Calibri"/>
                <w:b w:val="0"/>
                <w:bCs w:val="0"/>
                <w:color w:val="000000"/>
                <w:spacing w:val="0"/>
                <w:sz w:val="12"/>
                <w:szCs w:val="12"/>
                <w:u w:val="single"/>
              </w:rPr>
            </w:pPr>
            <w:r w:rsidRPr="003419D0">
              <w:rPr>
                <w:rFonts w:ascii="Calibri" w:hAnsi="Calibri" w:cs="Calibri"/>
                <w:b w:val="0"/>
                <w:bCs w:val="0"/>
                <w:color w:val="000000"/>
                <w:sz w:val="12"/>
                <w:szCs w:val="12"/>
                <w:u w:val="single"/>
              </w:rPr>
              <w:t>Köldmedia</w:t>
            </w:r>
          </w:p>
        </w:tc>
        <w:tc>
          <w:tcPr>
            <w:tcW w:w="2976" w:type="dxa"/>
            <w:tcMar>
              <w:right w:w="57" w:type="dxa"/>
            </w:tcMar>
          </w:tcPr>
          <w:p w14:paraId="1A8195E9" w14:textId="5F602105" w:rsidR="00413C90" w:rsidRPr="003419D0" w:rsidRDefault="00413C90" w:rsidP="00413C90">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u w:val="single"/>
              </w:rPr>
            </w:pPr>
            <w:r w:rsidRPr="003419D0">
              <w:rPr>
                <w:sz w:val="12"/>
                <w:szCs w:val="12"/>
                <w:u w:val="single"/>
              </w:rPr>
              <w:t>3.3 Energi- och bränslerelaterade utsläpp</w:t>
            </w:r>
          </w:p>
        </w:tc>
        <w:tc>
          <w:tcPr>
            <w:tcW w:w="2977" w:type="dxa"/>
            <w:gridSpan w:val="2"/>
            <w:tcMar>
              <w:right w:w="57" w:type="dxa"/>
            </w:tcMar>
          </w:tcPr>
          <w:p w14:paraId="576C6423" w14:textId="7D745730" w:rsidR="00413C90" w:rsidRPr="003419D0" w:rsidRDefault="00413C90" w:rsidP="00413C90">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u w:val="single"/>
              </w:rPr>
            </w:pPr>
            <w:r w:rsidRPr="003419D0">
              <w:rPr>
                <w:sz w:val="12"/>
                <w:szCs w:val="12"/>
                <w:u w:val="single"/>
              </w:rPr>
              <w:t>3.1 Inköpta varor och tjänster</w:t>
            </w:r>
          </w:p>
        </w:tc>
      </w:tr>
      <w:tr w:rsidR="002C290A" w14:paraId="2F8C1ED1"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61B9B80C" w14:textId="77639F39" w:rsidR="002C290A" w:rsidRPr="004A1BF8" w:rsidRDefault="002C290A"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Vattenförbrukning och yttre skötsel</w:t>
            </w:r>
          </w:p>
        </w:tc>
        <w:tc>
          <w:tcPr>
            <w:tcW w:w="2976" w:type="dxa"/>
            <w:tcMar>
              <w:right w:w="57" w:type="dxa"/>
            </w:tcMar>
          </w:tcPr>
          <w:p w14:paraId="18B48006" w14:textId="6756F92F" w:rsidR="002C290A" w:rsidRPr="004A1BF8" w:rsidRDefault="002C290A"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2CD68CA9" w14:textId="11879038" w:rsidR="002C290A" w:rsidRPr="004A1BF8" w:rsidRDefault="002C290A"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r>
      <w:tr w:rsidR="002C290A" w14:paraId="63EE6355"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272A909" w14:textId="06940665" w:rsidR="002C290A" w:rsidRPr="004A1BF8" w:rsidRDefault="002C290A" w:rsidP="0018401F">
            <w:pPr>
              <w:spacing w:line="240" w:lineRule="auto"/>
              <w:ind w:right="-55"/>
              <w:rPr>
                <w:rFonts w:ascii="Calibri" w:hAnsi="Calibri" w:cs="Calibri"/>
                <w:b w:val="0"/>
                <w:bCs w:val="0"/>
                <w:i/>
                <w:iCs/>
                <w:color w:val="000000"/>
                <w:spacing w:val="0"/>
                <w:sz w:val="12"/>
                <w:szCs w:val="12"/>
                <w:u w:val="single"/>
              </w:rPr>
            </w:pPr>
            <w:r w:rsidRPr="004A1BF8">
              <w:rPr>
                <w:rFonts w:ascii="Calibri" w:hAnsi="Calibri" w:cs="Calibri"/>
                <w:b w:val="0"/>
                <w:bCs w:val="0"/>
                <w:i/>
                <w:iCs/>
                <w:color w:val="000000"/>
                <w:sz w:val="12"/>
                <w:szCs w:val="12"/>
                <w:u w:val="single"/>
              </w:rPr>
              <w:t>Fastigheter - byggnation</w:t>
            </w:r>
          </w:p>
        </w:tc>
        <w:tc>
          <w:tcPr>
            <w:tcW w:w="2976" w:type="dxa"/>
            <w:tcMar>
              <w:right w:w="57" w:type="dxa"/>
            </w:tcMar>
          </w:tcPr>
          <w:p w14:paraId="51924B54" w14:textId="4BA29965" w:rsidR="002C290A" w:rsidRPr="004A1BF8" w:rsidRDefault="00116AE4"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u w:val="single"/>
              </w:rPr>
            </w:pPr>
            <w:r w:rsidRPr="004A1BF8">
              <w:rPr>
                <w:sz w:val="12"/>
                <w:szCs w:val="12"/>
                <w:u w:val="single"/>
              </w:rPr>
              <w:t>3.1 Inköpta varor och tjänster</w:t>
            </w:r>
          </w:p>
        </w:tc>
        <w:tc>
          <w:tcPr>
            <w:tcW w:w="2977" w:type="dxa"/>
            <w:gridSpan w:val="2"/>
            <w:tcMar>
              <w:right w:w="57" w:type="dxa"/>
            </w:tcMar>
          </w:tcPr>
          <w:p w14:paraId="13CBA2C0" w14:textId="562E8432" w:rsidR="002C290A" w:rsidRPr="004A1BF8" w:rsidRDefault="002C290A"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u w:val="single"/>
              </w:rPr>
            </w:pPr>
            <w:r w:rsidRPr="004A1BF8">
              <w:rPr>
                <w:sz w:val="12"/>
                <w:szCs w:val="12"/>
                <w:u w:val="single"/>
              </w:rPr>
              <w:t>3.2 Kapitalvaror</w:t>
            </w:r>
          </w:p>
        </w:tc>
      </w:tr>
      <w:tr w:rsidR="002C290A" w14:paraId="78F7A5EE"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225A38EA" w14:textId="357D8047" w:rsidR="002C290A" w:rsidRPr="004A1BF8" w:rsidRDefault="002C290A"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Allmän kollektivtrafik</w:t>
            </w:r>
          </w:p>
        </w:tc>
        <w:tc>
          <w:tcPr>
            <w:tcW w:w="2976" w:type="dxa"/>
            <w:tcMar>
              <w:right w:w="57" w:type="dxa"/>
            </w:tcMar>
          </w:tcPr>
          <w:p w14:paraId="72513031" w14:textId="08AA71CA" w:rsidR="002C290A" w:rsidRPr="004A1BF8" w:rsidRDefault="002C290A"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7A4636C8" w14:textId="4C8DADCB" w:rsidR="002C290A" w:rsidRPr="004A1BF8" w:rsidRDefault="002C290A"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r>
      <w:tr w:rsidR="002C290A" w14:paraId="6E7FE813"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69E39808" w14:textId="7705C1A8" w:rsidR="002C290A" w:rsidRPr="004A1BF8" w:rsidRDefault="002C290A"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 xml:space="preserve">Särskilda persontransporter/särskild kollektivtrafik </w:t>
            </w:r>
          </w:p>
        </w:tc>
        <w:tc>
          <w:tcPr>
            <w:tcW w:w="2976" w:type="dxa"/>
            <w:tcMar>
              <w:right w:w="57" w:type="dxa"/>
            </w:tcMar>
          </w:tcPr>
          <w:p w14:paraId="4988BEC3" w14:textId="0DDC1991" w:rsidR="002C290A" w:rsidRPr="004A1BF8" w:rsidRDefault="002C290A"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5B4C4A10" w14:textId="365A840D" w:rsidR="002C290A" w:rsidRPr="004A1BF8" w:rsidRDefault="002C290A"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r>
      <w:tr w:rsidR="002C290A" w14:paraId="5AA1D218"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299B3DDC" w14:textId="073799DD" w:rsidR="002C290A" w:rsidRPr="004A1BF8" w:rsidRDefault="002C290A"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Ambulans (bil/flyg/helikopter)</w:t>
            </w:r>
          </w:p>
        </w:tc>
        <w:tc>
          <w:tcPr>
            <w:tcW w:w="2976" w:type="dxa"/>
            <w:tcMar>
              <w:right w:w="57" w:type="dxa"/>
            </w:tcMar>
          </w:tcPr>
          <w:p w14:paraId="695F4367" w14:textId="4FCD9895" w:rsidR="002C290A" w:rsidRPr="004A1BF8" w:rsidRDefault="002C290A"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43A0E82E" w14:textId="43D1F98C" w:rsidR="002C290A" w:rsidRPr="004A1BF8" w:rsidRDefault="002C290A"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r>
      <w:tr w:rsidR="002C290A" w14:paraId="017ECEFD"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0D05C720" w14:textId="2C2881FC" w:rsidR="002C290A" w:rsidRPr="004A1BF8" w:rsidRDefault="002C290A"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Egna godstransporter</w:t>
            </w:r>
          </w:p>
        </w:tc>
        <w:tc>
          <w:tcPr>
            <w:tcW w:w="2976" w:type="dxa"/>
            <w:tcMar>
              <w:right w:w="57" w:type="dxa"/>
            </w:tcMar>
          </w:tcPr>
          <w:p w14:paraId="28DFD3D7" w14:textId="1D635BDB" w:rsidR="002C290A" w:rsidRPr="004A1BF8" w:rsidRDefault="002C290A"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31B4D963" w14:textId="641C3310" w:rsidR="002C290A" w:rsidRPr="004A1BF8" w:rsidRDefault="002C290A"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r>
      <w:tr w:rsidR="002C290A" w14:paraId="511869CA"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48B3620D" w14:textId="70CE2872" w:rsidR="002C290A" w:rsidRPr="004A1BF8" w:rsidRDefault="002C290A"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Inköpta godstransporter</w:t>
            </w:r>
          </w:p>
        </w:tc>
        <w:tc>
          <w:tcPr>
            <w:tcW w:w="2976" w:type="dxa"/>
            <w:tcMar>
              <w:right w:w="57" w:type="dxa"/>
            </w:tcMar>
          </w:tcPr>
          <w:p w14:paraId="66E6BEFB" w14:textId="07C79E3A" w:rsidR="002C290A" w:rsidRPr="004A1BF8" w:rsidRDefault="002C290A"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3.4 Uppströms transporter</w:t>
            </w:r>
          </w:p>
        </w:tc>
        <w:tc>
          <w:tcPr>
            <w:tcW w:w="2977" w:type="dxa"/>
            <w:gridSpan w:val="2"/>
            <w:tcMar>
              <w:right w:w="57" w:type="dxa"/>
            </w:tcMar>
          </w:tcPr>
          <w:p w14:paraId="24C55BB3" w14:textId="49DAB88C" w:rsidR="002C290A" w:rsidRPr="004A1BF8" w:rsidRDefault="002C290A"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3.4 Uppströms transporter</w:t>
            </w:r>
          </w:p>
        </w:tc>
      </w:tr>
      <w:tr w:rsidR="00776031" w14:paraId="6C1AF7EC"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787E35E9" w14:textId="5903E214" w:rsidR="00776031" w:rsidRPr="004A1BF8" w:rsidRDefault="00776031" w:rsidP="0018401F">
            <w:pPr>
              <w:spacing w:line="240" w:lineRule="auto"/>
              <w:ind w:right="-55"/>
              <w:rPr>
                <w:rFonts w:ascii="Calibri" w:hAnsi="Calibri" w:cs="Calibri"/>
                <w:b w:val="0"/>
                <w:bCs w:val="0"/>
                <w:color w:val="000000"/>
                <w:spacing w:val="0"/>
                <w:sz w:val="12"/>
                <w:szCs w:val="12"/>
                <w:u w:val="single"/>
              </w:rPr>
            </w:pPr>
            <w:r w:rsidRPr="004A1BF8">
              <w:rPr>
                <w:rFonts w:ascii="Calibri" w:hAnsi="Calibri" w:cs="Calibri"/>
                <w:b w:val="0"/>
                <w:bCs w:val="0"/>
                <w:color w:val="000000"/>
                <w:sz w:val="12"/>
                <w:szCs w:val="12"/>
                <w:u w:val="single"/>
              </w:rPr>
              <w:t>Betalda patientresor</w:t>
            </w:r>
          </w:p>
        </w:tc>
        <w:tc>
          <w:tcPr>
            <w:tcW w:w="2976" w:type="dxa"/>
            <w:tcMar>
              <w:right w:w="57" w:type="dxa"/>
            </w:tcMar>
          </w:tcPr>
          <w:p w14:paraId="7B5097DE" w14:textId="100DDD5B"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u w:val="single"/>
              </w:rPr>
            </w:pPr>
            <w:r w:rsidRPr="004A1BF8">
              <w:rPr>
                <w:sz w:val="12"/>
                <w:szCs w:val="12"/>
                <w:u w:val="single"/>
              </w:rPr>
              <w:t>3.3 Energi- och bränslerelaterade utsläpp</w:t>
            </w:r>
          </w:p>
        </w:tc>
        <w:tc>
          <w:tcPr>
            <w:tcW w:w="2977" w:type="dxa"/>
            <w:gridSpan w:val="2"/>
            <w:tcMar>
              <w:right w:w="57" w:type="dxa"/>
            </w:tcMar>
          </w:tcPr>
          <w:p w14:paraId="1CE7155F" w14:textId="175A58FD"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u w:val="single"/>
              </w:rPr>
            </w:pPr>
            <w:r w:rsidRPr="004A1BF8">
              <w:rPr>
                <w:sz w:val="12"/>
                <w:szCs w:val="12"/>
                <w:u w:val="single"/>
              </w:rPr>
              <w:t>3.4 Uppströms transporter</w:t>
            </w:r>
          </w:p>
        </w:tc>
      </w:tr>
      <w:tr w:rsidR="00776031" w14:paraId="6C9097FD"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001F1EE7" w14:textId="35309CD2" w:rsidR="00776031" w:rsidRPr="004A1BF8" w:rsidRDefault="00776031" w:rsidP="0018401F">
            <w:pPr>
              <w:spacing w:line="240" w:lineRule="auto"/>
              <w:ind w:right="-55"/>
              <w:rPr>
                <w:rFonts w:ascii="Calibri" w:hAnsi="Calibri" w:cs="Calibri"/>
                <w:b w:val="0"/>
                <w:bCs w:val="0"/>
                <w:color w:val="000000"/>
                <w:spacing w:val="0"/>
                <w:sz w:val="12"/>
                <w:szCs w:val="12"/>
                <w:u w:val="single"/>
              </w:rPr>
            </w:pPr>
            <w:r w:rsidRPr="004A1BF8">
              <w:rPr>
                <w:rFonts w:ascii="Calibri" w:hAnsi="Calibri" w:cs="Calibri"/>
                <w:b w:val="0"/>
                <w:bCs w:val="0"/>
                <w:color w:val="000000"/>
                <w:sz w:val="12"/>
                <w:szCs w:val="12"/>
                <w:u w:val="single"/>
              </w:rPr>
              <w:t>Ej betalda patientresor</w:t>
            </w:r>
          </w:p>
        </w:tc>
        <w:tc>
          <w:tcPr>
            <w:tcW w:w="2976" w:type="dxa"/>
            <w:tcMar>
              <w:right w:w="57" w:type="dxa"/>
            </w:tcMar>
          </w:tcPr>
          <w:p w14:paraId="282D29C4" w14:textId="38D7536A"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u w:val="single"/>
              </w:rPr>
            </w:pPr>
            <w:r w:rsidRPr="004A1BF8">
              <w:rPr>
                <w:sz w:val="12"/>
                <w:szCs w:val="12"/>
                <w:u w:val="single"/>
              </w:rPr>
              <w:t>3.3 Energi- och bränslerelaterade utsläpp</w:t>
            </w:r>
          </w:p>
        </w:tc>
        <w:tc>
          <w:tcPr>
            <w:tcW w:w="2977" w:type="dxa"/>
            <w:gridSpan w:val="2"/>
            <w:tcMar>
              <w:right w:w="57" w:type="dxa"/>
            </w:tcMar>
          </w:tcPr>
          <w:p w14:paraId="44F128B5" w14:textId="77E1B016"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u w:val="single"/>
              </w:rPr>
            </w:pPr>
            <w:r w:rsidRPr="004A1BF8">
              <w:rPr>
                <w:sz w:val="12"/>
                <w:szCs w:val="12"/>
                <w:u w:val="single"/>
              </w:rPr>
              <w:t>3.9 Nedströms transporter</w:t>
            </w:r>
          </w:p>
        </w:tc>
      </w:tr>
      <w:tr w:rsidR="00776031" w14:paraId="0A59AE5D"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62DBAC7" w14:textId="2DF2982B"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Arbetspendling</w:t>
            </w:r>
          </w:p>
        </w:tc>
        <w:tc>
          <w:tcPr>
            <w:tcW w:w="2976" w:type="dxa"/>
            <w:tcMar>
              <w:right w:w="57" w:type="dxa"/>
            </w:tcMar>
          </w:tcPr>
          <w:p w14:paraId="1477ECF3" w14:textId="18AFC35B"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3.7 Pendling</w:t>
            </w:r>
          </w:p>
        </w:tc>
        <w:tc>
          <w:tcPr>
            <w:tcW w:w="2977" w:type="dxa"/>
            <w:gridSpan w:val="2"/>
            <w:tcMar>
              <w:right w:w="57" w:type="dxa"/>
            </w:tcMar>
          </w:tcPr>
          <w:p w14:paraId="33634CAB" w14:textId="2E3DD097"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3.7 Pendling</w:t>
            </w:r>
          </w:p>
        </w:tc>
      </w:tr>
      <w:tr w:rsidR="00776031" w14:paraId="36048F40"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78635787" w14:textId="365C0068"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Flyg</w:t>
            </w:r>
          </w:p>
        </w:tc>
        <w:tc>
          <w:tcPr>
            <w:tcW w:w="2976" w:type="dxa"/>
            <w:tcMar>
              <w:right w:w="57" w:type="dxa"/>
            </w:tcMar>
          </w:tcPr>
          <w:p w14:paraId="3A74AA9A" w14:textId="29E6333B"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3.6 Tjänsteresor</w:t>
            </w:r>
          </w:p>
        </w:tc>
        <w:tc>
          <w:tcPr>
            <w:tcW w:w="2977" w:type="dxa"/>
            <w:gridSpan w:val="2"/>
            <w:tcMar>
              <w:right w:w="57" w:type="dxa"/>
            </w:tcMar>
          </w:tcPr>
          <w:p w14:paraId="1621CF48" w14:textId="103E2095"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3.6 Tjänsteresor</w:t>
            </w:r>
          </w:p>
        </w:tc>
      </w:tr>
      <w:tr w:rsidR="00776031" w14:paraId="28AEDCD2"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3031DBD9" w14:textId="41494F60"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Tåg</w:t>
            </w:r>
          </w:p>
        </w:tc>
        <w:tc>
          <w:tcPr>
            <w:tcW w:w="2976" w:type="dxa"/>
            <w:tcMar>
              <w:right w:w="57" w:type="dxa"/>
            </w:tcMar>
          </w:tcPr>
          <w:p w14:paraId="1B022801" w14:textId="7F48289C"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3.6 Tjänsteresor</w:t>
            </w:r>
          </w:p>
        </w:tc>
        <w:tc>
          <w:tcPr>
            <w:tcW w:w="2977" w:type="dxa"/>
            <w:gridSpan w:val="2"/>
            <w:tcMar>
              <w:right w:w="57" w:type="dxa"/>
            </w:tcMar>
          </w:tcPr>
          <w:p w14:paraId="03CBE00A" w14:textId="0A1321BE"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3.6 Tjänsteresor</w:t>
            </w:r>
          </w:p>
        </w:tc>
      </w:tr>
      <w:tr w:rsidR="00776031" w14:paraId="62F02322"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457461EE" w14:textId="0E7FF975" w:rsidR="00776031" w:rsidRPr="004A1BF8" w:rsidRDefault="00776031" w:rsidP="0018401F">
            <w:pPr>
              <w:spacing w:line="240" w:lineRule="auto"/>
              <w:ind w:right="-55"/>
              <w:rPr>
                <w:rFonts w:ascii="Calibri" w:hAnsi="Calibri" w:cs="Calibri"/>
                <w:b w:val="0"/>
                <w:bCs w:val="0"/>
                <w:color w:val="000000"/>
                <w:sz w:val="12"/>
                <w:szCs w:val="12"/>
              </w:rPr>
            </w:pPr>
            <w:r w:rsidRPr="004A1BF8">
              <w:rPr>
                <w:rFonts w:ascii="Calibri" w:hAnsi="Calibri" w:cs="Calibri"/>
                <w:b w:val="0"/>
                <w:bCs w:val="0"/>
                <w:color w:val="000000"/>
                <w:sz w:val="12"/>
                <w:szCs w:val="12"/>
              </w:rPr>
              <w:t>Buss</w:t>
            </w:r>
          </w:p>
        </w:tc>
        <w:tc>
          <w:tcPr>
            <w:tcW w:w="2976" w:type="dxa"/>
            <w:tcMar>
              <w:right w:w="57" w:type="dxa"/>
            </w:tcMar>
          </w:tcPr>
          <w:p w14:paraId="7739DCD1" w14:textId="0E4AE222"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3.6 Tjänsteresor</w:t>
            </w:r>
          </w:p>
        </w:tc>
        <w:tc>
          <w:tcPr>
            <w:tcW w:w="2977" w:type="dxa"/>
            <w:gridSpan w:val="2"/>
            <w:tcMar>
              <w:right w:w="57" w:type="dxa"/>
            </w:tcMar>
          </w:tcPr>
          <w:p w14:paraId="1CDDD083" w14:textId="002DC70D"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3.6 Tjänsteresor</w:t>
            </w:r>
          </w:p>
        </w:tc>
      </w:tr>
      <w:tr w:rsidR="00776031" w14:paraId="0CA4921D"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6E255571" w14:textId="73D10D9C"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Taxi</w:t>
            </w:r>
          </w:p>
        </w:tc>
        <w:tc>
          <w:tcPr>
            <w:tcW w:w="2976" w:type="dxa"/>
            <w:tcMar>
              <w:right w:w="57" w:type="dxa"/>
            </w:tcMar>
          </w:tcPr>
          <w:p w14:paraId="78786BF8" w14:textId="69D1F6C2"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3.6 Tjänsteresor</w:t>
            </w:r>
          </w:p>
        </w:tc>
        <w:tc>
          <w:tcPr>
            <w:tcW w:w="2977" w:type="dxa"/>
            <w:gridSpan w:val="2"/>
            <w:tcMar>
              <w:right w:w="57" w:type="dxa"/>
            </w:tcMar>
          </w:tcPr>
          <w:p w14:paraId="294BB3EF" w14:textId="20DA799E"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3.6 Tjänsteresor</w:t>
            </w:r>
          </w:p>
        </w:tc>
      </w:tr>
      <w:tr w:rsidR="00776031" w14:paraId="1E259682"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6F6B71D" w14:textId="080DDDBA"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Egenägda och leasade fordon</w:t>
            </w:r>
          </w:p>
        </w:tc>
        <w:tc>
          <w:tcPr>
            <w:tcW w:w="2976" w:type="dxa"/>
            <w:tcMar>
              <w:right w:w="57" w:type="dxa"/>
            </w:tcMar>
          </w:tcPr>
          <w:p w14:paraId="39B5C5D2" w14:textId="36F46A76"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51DBBCF5" w14:textId="4B4F3BCB" w:rsidR="00776031" w:rsidRPr="00F4088B"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F4088B">
              <w:rPr>
                <w:sz w:val="12"/>
                <w:szCs w:val="12"/>
              </w:rPr>
              <w:t>3.3 Energi- och bränslerelaterade utsläpp</w:t>
            </w:r>
          </w:p>
        </w:tc>
      </w:tr>
      <w:tr w:rsidR="00F4088B" w14:paraId="6AAAB385"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3E2D66F3" w14:textId="7E2EB7B1" w:rsidR="00F4088B" w:rsidRPr="00F87F1C" w:rsidRDefault="00F4088B" w:rsidP="00F4088B">
            <w:pPr>
              <w:spacing w:line="240" w:lineRule="auto"/>
              <w:ind w:right="-55"/>
              <w:rPr>
                <w:rFonts w:ascii="Calibri" w:hAnsi="Calibri" w:cs="Calibri"/>
                <w:b w:val="0"/>
                <w:bCs w:val="0"/>
                <w:color w:val="000000"/>
                <w:spacing w:val="0"/>
                <w:sz w:val="12"/>
                <w:szCs w:val="12"/>
                <w:u w:val="single"/>
              </w:rPr>
            </w:pPr>
            <w:r w:rsidRPr="00F87F1C">
              <w:rPr>
                <w:rFonts w:ascii="Calibri" w:hAnsi="Calibri" w:cs="Calibri"/>
                <w:b w:val="0"/>
                <w:bCs w:val="0"/>
                <w:color w:val="000000"/>
                <w:sz w:val="12"/>
                <w:szCs w:val="12"/>
                <w:u w:val="single"/>
              </w:rPr>
              <w:t>Hyrbil</w:t>
            </w:r>
          </w:p>
        </w:tc>
        <w:tc>
          <w:tcPr>
            <w:tcW w:w="2976" w:type="dxa"/>
            <w:tcMar>
              <w:right w:w="57" w:type="dxa"/>
            </w:tcMar>
          </w:tcPr>
          <w:p w14:paraId="3B969607" w14:textId="59A4FF9E" w:rsidR="00F4088B" w:rsidRPr="00F87F1C" w:rsidRDefault="00F4088B" w:rsidP="00F4088B">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u w:val="single"/>
              </w:rPr>
            </w:pPr>
            <w:r w:rsidRPr="00F87F1C">
              <w:rPr>
                <w:sz w:val="12"/>
                <w:szCs w:val="12"/>
                <w:u w:val="single"/>
              </w:rPr>
              <w:t>3.6 Tjänsteresor</w:t>
            </w:r>
          </w:p>
        </w:tc>
        <w:tc>
          <w:tcPr>
            <w:tcW w:w="2977" w:type="dxa"/>
            <w:gridSpan w:val="2"/>
            <w:tcMar>
              <w:right w:w="57" w:type="dxa"/>
            </w:tcMar>
          </w:tcPr>
          <w:p w14:paraId="6ED35DCD" w14:textId="720B1D04" w:rsidR="00F4088B" w:rsidRPr="00F87F1C" w:rsidRDefault="00F4088B" w:rsidP="00F4088B">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u w:val="single"/>
              </w:rPr>
            </w:pPr>
            <w:r w:rsidRPr="00F87F1C">
              <w:rPr>
                <w:sz w:val="12"/>
                <w:szCs w:val="12"/>
                <w:u w:val="single"/>
              </w:rPr>
              <w:t>3.3 Energi- och bränslerelaterade utsläpp</w:t>
            </w:r>
          </w:p>
        </w:tc>
      </w:tr>
      <w:tr w:rsidR="00776031" w14:paraId="7FE93155"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0AB3402" w14:textId="51D95AFB"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Privat bil i tjänst och förmånsbil</w:t>
            </w:r>
          </w:p>
        </w:tc>
        <w:tc>
          <w:tcPr>
            <w:tcW w:w="2976" w:type="dxa"/>
            <w:tcMar>
              <w:right w:w="57" w:type="dxa"/>
            </w:tcMar>
          </w:tcPr>
          <w:p w14:paraId="5F4C5C42" w14:textId="29EF2691"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52F711AF" w14:textId="69A7A406"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3.3 Energi- och bränslerelaterade utsläpp</w:t>
            </w:r>
          </w:p>
        </w:tc>
      </w:tr>
      <w:tr w:rsidR="00776031" w14:paraId="0E3D2371"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22D798F9" w14:textId="232D6CC9"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Hotell</w:t>
            </w:r>
          </w:p>
        </w:tc>
        <w:tc>
          <w:tcPr>
            <w:tcW w:w="2976" w:type="dxa"/>
            <w:tcMar>
              <w:right w:w="57" w:type="dxa"/>
            </w:tcMar>
          </w:tcPr>
          <w:p w14:paraId="77AF745E" w14:textId="56A75E2B"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3.6 Tjänsteresor</w:t>
            </w:r>
          </w:p>
        </w:tc>
        <w:tc>
          <w:tcPr>
            <w:tcW w:w="2977" w:type="dxa"/>
            <w:gridSpan w:val="2"/>
            <w:tcMar>
              <w:right w:w="57" w:type="dxa"/>
            </w:tcMar>
          </w:tcPr>
          <w:p w14:paraId="44144646" w14:textId="3B383E01"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3.6 Tjänsteresor</w:t>
            </w:r>
          </w:p>
        </w:tc>
      </w:tr>
      <w:tr w:rsidR="00776031" w14:paraId="0196B9FC"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32D9A7E7" w14:textId="38CC4D33"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Medicinska gaser</w:t>
            </w:r>
          </w:p>
        </w:tc>
        <w:tc>
          <w:tcPr>
            <w:tcW w:w="2976" w:type="dxa"/>
            <w:tcMar>
              <w:right w:w="57" w:type="dxa"/>
            </w:tcMar>
          </w:tcPr>
          <w:p w14:paraId="0C979155" w14:textId="6DD47B20"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630B1066" w14:textId="495CEA5B"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r>
      <w:tr w:rsidR="00776031" w14:paraId="12BB1899"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DF21C7B" w14:textId="287138F3"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Tvätteritjänster</w:t>
            </w:r>
          </w:p>
        </w:tc>
        <w:tc>
          <w:tcPr>
            <w:tcW w:w="2976" w:type="dxa"/>
            <w:tcMar>
              <w:right w:w="57" w:type="dxa"/>
            </w:tcMar>
          </w:tcPr>
          <w:p w14:paraId="1A60673F" w14:textId="0B845CDC"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2C3B8A1A" w14:textId="7B2D77F8"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r>
      <w:tr w:rsidR="00776031" w14:paraId="19B9FD9B"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3B57240" w14:textId="0C298E1F"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Livsmedel</w:t>
            </w:r>
          </w:p>
        </w:tc>
        <w:tc>
          <w:tcPr>
            <w:tcW w:w="2976" w:type="dxa"/>
            <w:tcMar>
              <w:right w:w="57" w:type="dxa"/>
            </w:tcMar>
          </w:tcPr>
          <w:p w14:paraId="10EAC59F" w14:textId="6FEB1C7D"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72ECDA00" w14:textId="7ADD253E"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r>
      <w:tr w:rsidR="00776031" w14:paraId="2272AEC3"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36B20B72" w14:textId="2D3F8816"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 xml:space="preserve">IT och kommunikation </w:t>
            </w:r>
          </w:p>
        </w:tc>
        <w:tc>
          <w:tcPr>
            <w:tcW w:w="2976" w:type="dxa"/>
            <w:tcMar>
              <w:right w:w="57" w:type="dxa"/>
            </w:tcMar>
          </w:tcPr>
          <w:p w14:paraId="13FAC48A" w14:textId="29B0ECEF"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676DD9CC" w14:textId="2159FAE4"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r>
      <w:tr w:rsidR="00776031" w14:paraId="1D6834A1"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69C8326D" w14:textId="19382C1F"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Textilier</w:t>
            </w:r>
          </w:p>
        </w:tc>
        <w:tc>
          <w:tcPr>
            <w:tcW w:w="2976" w:type="dxa"/>
            <w:tcMar>
              <w:right w:w="57" w:type="dxa"/>
            </w:tcMar>
          </w:tcPr>
          <w:p w14:paraId="4B50C628" w14:textId="037E5AAE"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40435FBB" w14:textId="069633E0"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r>
      <w:tr w:rsidR="00776031" w14:paraId="271F5874"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485D215C" w14:textId="7F3B18ED"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 xml:space="preserve">Möbler </w:t>
            </w:r>
          </w:p>
        </w:tc>
        <w:tc>
          <w:tcPr>
            <w:tcW w:w="2976" w:type="dxa"/>
            <w:tcMar>
              <w:right w:w="57" w:type="dxa"/>
            </w:tcMar>
          </w:tcPr>
          <w:p w14:paraId="7FD2617F" w14:textId="21696E20"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37D5A881" w14:textId="3009B786"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r>
      <w:tr w:rsidR="00776031" w14:paraId="295BCB26"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3BA28FBA" w14:textId="13E719C4"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 xml:space="preserve">Hjälpmedel </w:t>
            </w:r>
          </w:p>
        </w:tc>
        <w:tc>
          <w:tcPr>
            <w:tcW w:w="2976" w:type="dxa"/>
            <w:tcMar>
              <w:right w:w="57" w:type="dxa"/>
            </w:tcMar>
          </w:tcPr>
          <w:p w14:paraId="37BD5CB0" w14:textId="64B27BD8"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66709747" w14:textId="0B758D60"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r>
      <w:tr w:rsidR="00776031" w14:paraId="59FABB1F"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41CE637F" w14:textId="12D46BA0"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 xml:space="preserve">Medicinteknisk utrustning </w:t>
            </w:r>
          </w:p>
        </w:tc>
        <w:tc>
          <w:tcPr>
            <w:tcW w:w="2976" w:type="dxa"/>
            <w:tcMar>
              <w:right w:w="57" w:type="dxa"/>
            </w:tcMar>
          </w:tcPr>
          <w:p w14:paraId="70E7ECBA" w14:textId="2E45EC7B"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3.2 Kapitalvaror</w:t>
            </w:r>
          </w:p>
        </w:tc>
        <w:tc>
          <w:tcPr>
            <w:tcW w:w="2977" w:type="dxa"/>
            <w:gridSpan w:val="2"/>
            <w:tcMar>
              <w:right w:w="57" w:type="dxa"/>
            </w:tcMar>
          </w:tcPr>
          <w:p w14:paraId="25CBE557" w14:textId="3D1BDC87"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3.2 Kapitalvaror</w:t>
            </w:r>
          </w:p>
        </w:tc>
      </w:tr>
      <w:tr w:rsidR="00776031" w14:paraId="1FAEAC75"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01C188CE" w14:textId="180397AD"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Läkemedelsanvändning i verksamheten</w:t>
            </w:r>
          </w:p>
        </w:tc>
        <w:tc>
          <w:tcPr>
            <w:tcW w:w="2976" w:type="dxa"/>
            <w:tcMar>
              <w:right w:w="57" w:type="dxa"/>
            </w:tcMar>
          </w:tcPr>
          <w:p w14:paraId="53D837C4" w14:textId="4B8DEA72"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78AA0001" w14:textId="5B4DD459"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r>
      <w:tr w:rsidR="00776031" w14:paraId="4749CE2F"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F09A372" w14:textId="1EF3EF78"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Vård- och tandvårdsrelaterade tjänster</w:t>
            </w:r>
          </w:p>
        </w:tc>
        <w:tc>
          <w:tcPr>
            <w:tcW w:w="2976" w:type="dxa"/>
            <w:tcMar>
              <w:right w:w="57" w:type="dxa"/>
            </w:tcMar>
          </w:tcPr>
          <w:p w14:paraId="0A7CFC56" w14:textId="1E68075C"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0FD03B50" w14:textId="10BBAA32"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r>
      <w:tr w:rsidR="00776031" w14:paraId="28460C02"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1BC78000" w14:textId="28AE7155"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 xml:space="preserve">Förbrukningsartiklar </w:t>
            </w:r>
          </w:p>
        </w:tc>
        <w:tc>
          <w:tcPr>
            <w:tcW w:w="2976" w:type="dxa"/>
            <w:tcMar>
              <w:right w:w="57" w:type="dxa"/>
            </w:tcMar>
          </w:tcPr>
          <w:p w14:paraId="1DC2AA44" w14:textId="17EF1623"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4F862F21" w14:textId="27B67567"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 Inköpta varor och tjänster</w:t>
            </w:r>
          </w:p>
        </w:tc>
      </w:tr>
      <w:tr w:rsidR="00776031" w14:paraId="0D2793AD"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0D6FA634" w14:textId="185DFEEA"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Övriga inköp</w:t>
            </w:r>
          </w:p>
        </w:tc>
        <w:tc>
          <w:tcPr>
            <w:tcW w:w="2976" w:type="dxa"/>
            <w:tcMar>
              <w:right w:w="57" w:type="dxa"/>
            </w:tcMar>
          </w:tcPr>
          <w:p w14:paraId="56B4C205" w14:textId="4A30FBA8"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0F47DEE0" w14:textId="651AF84E"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r>
      <w:tr w:rsidR="00776031" w14:paraId="5E6D8847"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5BDC3A6" w14:textId="72518453"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Avfall</w:t>
            </w:r>
          </w:p>
        </w:tc>
        <w:tc>
          <w:tcPr>
            <w:tcW w:w="2976" w:type="dxa"/>
            <w:tcMar>
              <w:right w:w="57" w:type="dxa"/>
            </w:tcMar>
          </w:tcPr>
          <w:p w14:paraId="2C381C01" w14:textId="543325AF"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3.5 Avfall</w:t>
            </w:r>
          </w:p>
        </w:tc>
        <w:tc>
          <w:tcPr>
            <w:tcW w:w="2977" w:type="dxa"/>
            <w:gridSpan w:val="2"/>
            <w:tcMar>
              <w:right w:w="57" w:type="dxa"/>
            </w:tcMar>
          </w:tcPr>
          <w:p w14:paraId="6C07AAFE" w14:textId="672FB4CD"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3.5 Avfall</w:t>
            </w:r>
          </w:p>
        </w:tc>
      </w:tr>
      <w:tr w:rsidR="00776031" w14:paraId="74E8AF6F"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43484926" w14:textId="2016D387"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Arbetsmaskiner för naturbruk</w:t>
            </w:r>
          </w:p>
        </w:tc>
        <w:tc>
          <w:tcPr>
            <w:tcW w:w="2976" w:type="dxa"/>
            <w:tcMar>
              <w:right w:w="57" w:type="dxa"/>
            </w:tcMar>
          </w:tcPr>
          <w:p w14:paraId="3625C09E" w14:textId="4939999E"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c>
          <w:tcPr>
            <w:tcW w:w="2977" w:type="dxa"/>
            <w:gridSpan w:val="2"/>
            <w:tcMar>
              <w:right w:w="57" w:type="dxa"/>
            </w:tcMar>
          </w:tcPr>
          <w:p w14:paraId="472B0C86" w14:textId="2A952128"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3.3 Energi- och bränslerelaterade utsläpp</w:t>
            </w:r>
          </w:p>
        </w:tc>
      </w:tr>
      <w:tr w:rsidR="00776031" w14:paraId="24D5048C"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065C84AD" w14:textId="2F662259"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Djurhållning och markanvändning</w:t>
            </w:r>
          </w:p>
        </w:tc>
        <w:tc>
          <w:tcPr>
            <w:tcW w:w="2976" w:type="dxa"/>
            <w:tcMar>
              <w:right w:w="57" w:type="dxa"/>
            </w:tcMar>
          </w:tcPr>
          <w:p w14:paraId="2567B10D" w14:textId="46617C9C"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Ej kategoriserad</w:t>
            </w:r>
            <w:r w:rsidR="0018401F" w:rsidRPr="004A1BF8">
              <w:rPr>
                <w:sz w:val="12"/>
                <w:szCs w:val="12"/>
              </w:rPr>
              <w:t xml:space="preserve"> (ej relevant)</w:t>
            </w:r>
          </w:p>
        </w:tc>
        <w:tc>
          <w:tcPr>
            <w:tcW w:w="2977" w:type="dxa"/>
            <w:gridSpan w:val="2"/>
            <w:tcMar>
              <w:right w:w="57" w:type="dxa"/>
            </w:tcMar>
          </w:tcPr>
          <w:p w14:paraId="265A9A3F" w14:textId="6BEEE748"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Ej kategoriserad</w:t>
            </w:r>
            <w:r w:rsidR="0018401F" w:rsidRPr="004A1BF8">
              <w:rPr>
                <w:sz w:val="12"/>
                <w:szCs w:val="12"/>
              </w:rPr>
              <w:t xml:space="preserve"> (ej relevant)</w:t>
            </w:r>
          </w:p>
        </w:tc>
      </w:tr>
      <w:tr w:rsidR="00776031" w14:paraId="2BB76DE4"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76E7FA3A" w14:textId="1420AD77" w:rsidR="00776031" w:rsidRPr="004A1BF8" w:rsidRDefault="00776031" w:rsidP="0018401F">
            <w:pPr>
              <w:spacing w:line="240" w:lineRule="auto"/>
              <w:ind w:right="-55"/>
              <w:rPr>
                <w:rFonts w:ascii="Calibri" w:hAnsi="Calibri" w:cs="Calibri"/>
                <w:b w:val="0"/>
                <w:bCs w:val="0"/>
                <w:color w:val="000000"/>
                <w:spacing w:val="0"/>
                <w:sz w:val="12"/>
                <w:szCs w:val="12"/>
              </w:rPr>
            </w:pPr>
            <w:r w:rsidRPr="004A1BF8">
              <w:rPr>
                <w:rFonts w:ascii="Calibri" w:hAnsi="Calibri" w:cs="Calibri"/>
                <w:b w:val="0"/>
                <w:bCs w:val="0"/>
                <w:color w:val="000000"/>
                <w:sz w:val="12"/>
                <w:szCs w:val="12"/>
              </w:rPr>
              <w:t>Inköp kopplade till naturbruk</w:t>
            </w:r>
          </w:p>
        </w:tc>
        <w:tc>
          <w:tcPr>
            <w:tcW w:w="2976" w:type="dxa"/>
            <w:tcMar>
              <w:right w:w="57" w:type="dxa"/>
            </w:tcMar>
          </w:tcPr>
          <w:p w14:paraId="2EE4A56C" w14:textId="0FACD529" w:rsidR="00776031" w:rsidRPr="004A1BF8" w:rsidRDefault="00776031"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c>
          <w:tcPr>
            <w:tcW w:w="2977" w:type="dxa"/>
            <w:gridSpan w:val="2"/>
            <w:tcMar>
              <w:right w:w="57" w:type="dxa"/>
            </w:tcMar>
          </w:tcPr>
          <w:p w14:paraId="3C777CFB" w14:textId="64DDDFEE"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rPr>
            </w:pPr>
            <w:r w:rsidRPr="004A1BF8">
              <w:rPr>
                <w:sz w:val="12"/>
                <w:szCs w:val="12"/>
              </w:rPr>
              <w:t>3.1 Inköpta varor och tjänster</w:t>
            </w:r>
          </w:p>
        </w:tc>
      </w:tr>
      <w:tr w:rsidR="00776031" w14:paraId="2D2ACBB8"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0F1CF004" w14:textId="12B1EC22" w:rsidR="00776031" w:rsidRPr="004A1BF8" w:rsidRDefault="00776031" w:rsidP="0018401F">
            <w:pPr>
              <w:spacing w:line="240" w:lineRule="auto"/>
              <w:ind w:right="-55"/>
              <w:rPr>
                <w:rFonts w:ascii="Calibri" w:hAnsi="Calibri" w:cs="Calibri"/>
                <w:b w:val="0"/>
                <w:bCs w:val="0"/>
                <w:i/>
                <w:iCs/>
                <w:color w:val="000000"/>
                <w:spacing w:val="0"/>
                <w:sz w:val="12"/>
                <w:szCs w:val="12"/>
              </w:rPr>
            </w:pPr>
            <w:r w:rsidRPr="004A1BF8">
              <w:rPr>
                <w:rFonts w:ascii="Calibri" w:hAnsi="Calibri" w:cs="Calibri"/>
                <w:b w:val="0"/>
                <w:bCs w:val="0"/>
                <w:i/>
                <w:iCs/>
                <w:color w:val="000000"/>
                <w:sz w:val="12"/>
                <w:szCs w:val="12"/>
              </w:rPr>
              <w:t>Hel- eller delägda bolag (övriga</w:t>
            </w:r>
            <w:r w:rsidR="0018401F" w:rsidRPr="004A1BF8">
              <w:rPr>
                <w:rFonts w:ascii="Calibri" w:hAnsi="Calibri" w:cs="Calibri"/>
                <w:b w:val="0"/>
                <w:bCs w:val="0"/>
                <w:i/>
                <w:iCs/>
                <w:color w:val="000000"/>
                <w:sz w:val="12"/>
                <w:szCs w:val="12"/>
              </w:rPr>
              <w:t xml:space="preserve"> </w:t>
            </w:r>
            <w:r w:rsidRPr="004A1BF8">
              <w:rPr>
                <w:rFonts w:ascii="Calibri" w:hAnsi="Calibri" w:cs="Calibri"/>
                <w:b w:val="0"/>
                <w:bCs w:val="0"/>
                <w:i/>
                <w:iCs/>
                <w:color w:val="000000"/>
                <w:sz w:val="12"/>
                <w:szCs w:val="12"/>
              </w:rPr>
              <w:t>områden)</w:t>
            </w:r>
          </w:p>
        </w:tc>
        <w:tc>
          <w:tcPr>
            <w:tcW w:w="2976" w:type="dxa"/>
            <w:tcMar>
              <w:right w:w="57" w:type="dxa"/>
            </w:tcMar>
          </w:tcPr>
          <w:p w14:paraId="0C08F20D" w14:textId="747A4B0D"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3.15 Investeringar</w:t>
            </w:r>
          </w:p>
        </w:tc>
        <w:tc>
          <w:tcPr>
            <w:tcW w:w="2977" w:type="dxa"/>
            <w:gridSpan w:val="2"/>
            <w:tcMar>
              <w:right w:w="57" w:type="dxa"/>
            </w:tcMar>
          </w:tcPr>
          <w:p w14:paraId="64308EC3" w14:textId="18A4F99E"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3.15 Investeringar</w:t>
            </w:r>
          </w:p>
        </w:tc>
      </w:tr>
      <w:tr w:rsidR="00776031" w14:paraId="5E044D27" w14:textId="77777777" w:rsidTr="0018401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5D0F25AE" w14:textId="324271F5" w:rsidR="00776031" w:rsidRPr="004A1BF8" w:rsidRDefault="00776031" w:rsidP="0018401F">
            <w:pPr>
              <w:spacing w:line="240" w:lineRule="auto"/>
              <w:ind w:right="-55"/>
              <w:rPr>
                <w:rFonts w:ascii="Calibri" w:hAnsi="Calibri" w:cs="Calibri"/>
                <w:b w:val="0"/>
                <w:bCs w:val="0"/>
                <w:color w:val="000000"/>
                <w:spacing w:val="0"/>
                <w:sz w:val="12"/>
                <w:szCs w:val="12"/>
                <w:u w:val="single"/>
              </w:rPr>
            </w:pPr>
            <w:r w:rsidRPr="004A1BF8">
              <w:rPr>
                <w:rFonts w:ascii="Calibri" w:hAnsi="Calibri" w:cs="Calibri"/>
                <w:b w:val="0"/>
                <w:bCs w:val="0"/>
                <w:color w:val="000000"/>
                <w:sz w:val="12"/>
                <w:szCs w:val="12"/>
                <w:u w:val="single"/>
              </w:rPr>
              <w:t>Förskrivna läkemedel</w:t>
            </w:r>
          </w:p>
        </w:tc>
        <w:tc>
          <w:tcPr>
            <w:tcW w:w="2976" w:type="dxa"/>
            <w:tcMar>
              <w:right w:w="57" w:type="dxa"/>
            </w:tcMar>
          </w:tcPr>
          <w:p w14:paraId="69D45D50" w14:textId="49D1D35D" w:rsidR="00776031" w:rsidRPr="004A1BF8" w:rsidRDefault="00426F6A" w:rsidP="0018401F">
            <w:pPr>
              <w:pStyle w:val="Liststycke"/>
              <w:ind w:left="0" w:right="-52"/>
              <w:cnfStyle w:val="000000100000" w:firstRow="0" w:lastRow="0" w:firstColumn="0" w:lastColumn="0" w:oddVBand="0" w:evenVBand="0" w:oddHBand="1" w:evenHBand="0" w:firstRowFirstColumn="0" w:firstRowLastColumn="0" w:lastRowFirstColumn="0" w:lastRowLastColumn="0"/>
              <w:rPr>
                <w:sz w:val="12"/>
                <w:szCs w:val="12"/>
                <w:u w:val="single"/>
              </w:rPr>
            </w:pPr>
            <w:r w:rsidRPr="004A1BF8">
              <w:rPr>
                <w:sz w:val="12"/>
                <w:szCs w:val="12"/>
                <w:u w:val="single"/>
              </w:rPr>
              <w:t>3.1 Inköpta varor och tjänster</w:t>
            </w:r>
          </w:p>
        </w:tc>
        <w:tc>
          <w:tcPr>
            <w:tcW w:w="2977" w:type="dxa"/>
            <w:gridSpan w:val="2"/>
            <w:tcMar>
              <w:right w:w="57" w:type="dxa"/>
            </w:tcMar>
          </w:tcPr>
          <w:p w14:paraId="29256F23" w14:textId="19263538" w:rsidR="00776031" w:rsidRPr="004A1BF8" w:rsidRDefault="00776031" w:rsidP="0018401F">
            <w:pPr>
              <w:pStyle w:val="Liststycke"/>
              <w:ind w:left="0" w:right="-61"/>
              <w:cnfStyle w:val="000000100000" w:firstRow="0" w:lastRow="0" w:firstColumn="0" w:lastColumn="0" w:oddVBand="0" w:evenVBand="0" w:oddHBand="1" w:evenHBand="0" w:firstRowFirstColumn="0" w:firstRowLastColumn="0" w:lastRowFirstColumn="0" w:lastRowLastColumn="0"/>
              <w:rPr>
                <w:sz w:val="12"/>
                <w:szCs w:val="12"/>
                <w:u w:val="single"/>
              </w:rPr>
            </w:pPr>
            <w:r w:rsidRPr="004A1BF8">
              <w:rPr>
                <w:sz w:val="12"/>
                <w:szCs w:val="12"/>
                <w:u w:val="single"/>
              </w:rPr>
              <w:t>3.11 Användning av såld produkt</w:t>
            </w:r>
          </w:p>
        </w:tc>
      </w:tr>
      <w:tr w:rsidR="00776031" w14:paraId="58A7843B" w14:textId="77777777" w:rsidTr="0018401F">
        <w:trPr>
          <w:trHeight w:val="20"/>
        </w:trPr>
        <w:tc>
          <w:tcPr>
            <w:cnfStyle w:val="001000000000" w:firstRow="0" w:lastRow="0" w:firstColumn="1" w:lastColumn="0" w:oddVBand="0" w:evenVBand="0" w:oddHBand="0" w:evenHBand="0" w:firstRowFirstColumn="0" w:firstRowLastColumn="0" w:lastRowFirstColumn="0" w:lastRowLastColumn="0"/>
            <w:tcW w:w="2978" w:type="dxa"/>
            <w:tcMar>
              <w:right w:w="57" w:type="dxa"/>
            </w:tcMar>
          </w:tcPr>
          <w:p w14:paraId="22E96432" w14:textId="1918AFB8" w:rsidR="00776031" w:rsidRPr="004A1BF8" w:rsidRDefault="00776031" w:rsidP="0018401F">
            <w:pPr>
              <w:spacing w:line="240" w:lineRule="auto"/>
              <w:ind w:right="-55"/>
              <w:rPr>
                <w:rFonts w:ascii="Calibri" w:hAnsi="Calibri" w:cs="Calibri"/>
                <w:b w:val="0"/>
                <w:bCs w:val="0"/>
                <w:i/>
                <w:iCs/>
                <w:color w:val="000000"/>
                <w:spacing w:val="0"/>
                <w:sz w:val="12"/>
                <w:szCs w:val="12"/>
              </w:rPr>
            </w:pPr>
            <w:r w:rsidRPr="004A1BF8">
              <w:rPr>
                <w:rFonts w:ascii="Calibri" w:hAnsi="Calibri" w:cs="Calibri"/>
                <w:b w:val="0"/>
                <w:bCs w:val="0"/>
                <w:i/>
                <w:iCs/>
                <w:color w:val="000000"/>
                <w:sz w:val="12"/>
                <w:szCs w:val="12"/>
              </w:rPr>
              <w:t>Kapitalplaceringar</w:t>
            </w:r>
          </w:p>
        </w:tc>
        <w:tc>
          <w:tcPr>
            <w:tcW w:w="2976" w:type="dxa"/>
            <w:tcMar>
              <w:right w:w="57" w:type="dxa"/>
            </w:tcMar>
          </w:tcPr>
          <w:p w14:paraId="375FCA49" w14:textId="57F159CF" w:rsidR="00776031" w:rsidRPr="004A1BF8" w:rsidRDefault="00776031" w:rsidP="0018401F">
            <w:pPr>
              <w:pStyle w:val="Liststycke"/>
              <w:ind w:left="0" w:right="-52"/>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3.15 Investeringar</w:t>
            </w:r>
          </w:p>
        </w:tc>
        <w:tc>
          <w:tcPr>
            <w:tcW w:w="2977" w:type="dxa"/>
            <w:gridSpan w:val="2"/>
            <w:tcMar>
              <w:right w:w="57" w:type="dxa"/>
            </w:tcMar>
          </w:tcPr>
          <w:p w14:paraId="6EB588B6" w14:textId="1FAFD3DF" w:rsidR="00776031" w:rsidRPr="004A1BF8" w:rsidRDefault="00776031" w:rsidP="0018401F">
            <w:pPr>
              <w:pStyle w:val="Liststycke"/>
              <w:ind w:left="0" w:right="-61"/>
              <w:cnfStyle w:val="000000000000" w:firstRow="0" w:lastRow="0" w:firstColumn="0" w:lastColumn="0" w:oddVBand="0" w:evenVBand="0" w:oddHBand="0" w:evenHBand="0" w:firstRowFirstColumn="0" w:firstRowLastColumn="0" w:lastRowFirstColumn="0" w:lastRowLastColumn="0"/>
              <w:rPr>
                <w:sz w:val="12"/>
                <w:szCs w:val="12"/>
              </w:rPr>
            </w:pPr>
            <w:r w:rsidRPr="004A1BF8">
              <w:rPr>
                <w:sz w:val="12"/>
                <w:szCs w:val="12"/>
              </w:rPr>
              <w:t>3.15 Investeringar</w:t>
            </w:r>
          </w:p>
        </w:tc>
      </w:tr>
    </w:tbl>
    <w:p w14:paraId="646A56C0" w14:textId="5EC4D174" w:rsidR="00554197" w:rsidRDefault="00430175" w:rsidP="00673A18">
      <w:pPr>
        <w:pStyle w:val="Liststycke"/>
      </w:pPr>
      <w:r>
        <w:t xml:space="preserve"> </w:t>
      </w:r>
    </w:p>
    <w:p w14:paraId="46474B69" w14:textId="77777777" w:rsidR="00510BAC" w:rsidRPr="00AC4387" w:rsidRDefault="00510BAC" w:rsidP="00510BAC">
      <w:pPr>
        <w:pStyle w:val="Liststycke"/>
        <w:numPr>
          <w:ilvl w:val="0"/>
          <w:numId w:val="12"/>
        </w:numPr>
      </w:pPr>
      <w:r w:rsidRPr="00953BBF">
        <w:rPr>
          <w:b/>
        </w:rPr>
        <w:t xml:space="preserve">Tabell </w:t>
      </w:r>
      <w:r>
        <w:rPr>
          <w:b/>
          <w:bCs/>
        </w:rPr>
        <w:t>7</w:t>
      </w:r>
      <w:r w:rsidRPr="00953BBF">
        <w:rPr>
          <w:b/>
        </w:rPr>
        <w:t xml:space="preserve"> – </w:t>
      </w:r>
      <w:r w:rsidRPr="00AC4387">
        <w:rPr>
          <w:b/>
        </w:rPr>
        <w:t>Andel utsläpp från uppmätta respektive estimerade värden</w:t>
      </w:r>
    </w:p>
    <w:p w14:paraId="6BD287E2" w14:textId="76701BB5" w:rsidR="00510BAC" w:rsidRPr="00510BAC" w:rsidRDefault="00510BAC" w:rsidP="00510BAC">
      <w:pPr>
        <w:pStyle w:val="Liststycke"/>
      </w:pPr>
      <w:r>
        <w:t>Här presenteras hur stor del av de totala utsläppen som baseras på uppmätta respektive estimerade värden.</w:t>
      </w:r>
    </w:p>
    <w:p w14:paraId="5E8EDE90" w14:textId="18B95E0E" w:rsidR="00AC4387" w:rsidRPr="00AC4387" w:rsidRDefault="009821A9" w:rsidP="009821A9">
      <w:pPr>
        <w:pStyle w:val="Liststycke"/>
        <w:numPr>
          <w:ilvl w:val="0"/>
          <w:numId w:val="12"/>
        </w:numPr>
      </w:pPr>
      <w:r w:rsidRPr="00953BBF">
        <w:rPr>
          <w:b/>
        </w:rPr>
        <w:t xml:space="preserve">Tabell </w:t>
      </w:r>
      <w:r w:rsidR="004A1BF8">
        <w:rPr>
          <w:b/>
          <w:bCs/>
        </w:rPr>
        <w:t>8</w:t>
      </w:r>
      <w:r w:rsidRPr="00953BBF">
        <w:rPr>
          <w:b/>
        </w:rPr>
        <w:t xml:space="preserve"> – </w:t>
      </w:r>
      <w:r w:rsidR="004A1BF8">
        <w:rPr>
          <w:b/>
        </w:rPr>
        <w:t>Energ</w:t>
      </w:r>
      <w:r w:rsidR="0043410E">
        <w:rPr>
          <w:b/>
        </w:rPr>
        <w:t>i- och primärenergianvändning för drivmedel och fastighetsenergi</w:t>
      </w:r>
    </w:p>
    <w:p w14:paraId="2FAE93CF" w14:textId="1A454105" w:rsidR="00510BAC" w:rsidRDefault="0043410E" w:rsidP="00510BAC">
      <w:pPr>
        <w:pStyle w:val="Liststycke"/>
      </w:pPr>
      <w:r>
        <w:t>Här presenteras den</w:t>
      </w:r>
      <w:r w:rsidR="0050303C">
        <w:t xml:space="preserve"> </w:t>
      </w:r>
      <w:r>
        <w:t xml:space="preserve">energianvändning för </w:t>
      </w:r>
      <w:r w:rsidR="00511796">
        <w:t xml:space="preserve">alla drivmedel och energin som används i fastigheter. </w:t>
      </w:r>
      <w:r w:rsidR="00767FC7">
        <w:t xml:space="preserve">Resultatet presenteras både i form av total energianvändning samt totalprimärenergianvändning. </w:t>
      </w:r>
    </w:p>
    <w:p w14:paraId="6F8D3039" w14:textId="77777777" w:rsidR="00AE521A" w:rsidRDefault="00AE521A" w:rsidP="00AE521A">
      <w:pPr>
        <w:pStyle w:val="Liststycke"/>
      </w:pPr>
    </w:p>
    <w:p w14:paraId="167FE376" w14:textId="77777777" w:rsidR="00822E49" w:rsidRDefault="00822E49" w:rsidP="00822E49">
      <w:r>
        <w:t xml:space="preserve">I </w:t>
      </w:r>
      <w:r w:rsidRPr="00E4702E">
        <w:rPr>
          <w:b/>
          <w:bCs/>
        </w:rPr>
        <w:t>fliken ”Resultat – Jämförelse”</w:t>
      </w:r>
      <w:r>
        <w:t xml:space="preserve"> </w:t>
      </w:r>
      <w:r w:rsidR="006C029D">
        <w:t>redovisas resultaten över tid från de</w:t>
      </w:r>
      <w:r w:rsidR="006037E7">
        <w:t xml:space="preserve">t </w:t>
      </w:r>
      <w:r w:rsidR="00C42622">
        <w:t>basår som regionen lagt till i verktyget.</w:t>
      </w:r>
      <w:r w:rsidR="00F90309">
        <w:t xml:space="preserve"> Resultat från tidigare år kopieras in</w:t>
      </w:r>
      <w:r w:rsidR="00017873">
        <w:t xml:space="preserve"> manuellt</w:t>
      </w:r>
      <w:r w:rsidR="00F90309">
        <w:t xml:space="preserve"> av regionen.</w:t>
      </w:r>
      <w:r w:rsidR="00C42622">
        <w:t xml:space="preserve"> Till höger finns även ett flertal jämförande diagram som visar exempelvis totala utsläpp, </w:t>
      </w:r>
      <w:r w:rsidR="00D07D3B">
        <w:t>biogena utsläpp</w:t>
      </w:r>
      <w:r w:rsidR="004E09D5">
        <w:t xml:space="preserve"> &amp; </w:t>
      </w:r>
      <w:r w:rsidR="00F22BAA">
        <w:t>avfall</w:t>
      </w:r>
      <w:r w:rsidR="00B91470">
        <w:t>.</w:t>
      </w:r>
      <w:r w:rsidR="004E09D5">
        <w:t xml:space="preserve"> </w:t>
      </w:r>
    </w:p>
    <w:p w14:paraId="50FCEE77" w14:textId="77777777" w:rsidR="008D4413" w:rsidRPr="00EF088B" w:rsidRDefault="008D4413" w:rsidP="008D4413">
      <w:r>
        <w:t xml:space="preserve">Regionen har </w:t>
      </w:r>
      <w:r w:rsidR="00321716">
        <w:t xml:space="preserve">också </w:t>
      </w:r>
      <w:r>
        <w:t>möjlighet att lägga till egna relevanta nyckeltal. Detta görs genom att hämta valfritt (se lista i verktyg) värde från resultattabellen med en egen ifylld nämnare.</w:t>
      </w:r>
    </w:p>
    <w:p w14:paraId="125533D5" w14:textId="77777777" w:rsidR="008D4413" w:rsidRPr="00EF088B" w:rsidRDefault="008D4413" w:rsidP="00822E49"/>
    <w:p w14:paraId="69B23BBB" w14:textId="77777777" w:rsidR="004631DD" w:rsidRDefault="004631DD">
      <w:pPr>
        <w:spacing w:line="259" w:lineRule="auto"/>
        <w:rPr>
          <w:rFonts w:ascii="Museo Sans Rounded 900" w:eastAsiaTheme="majorEastAsia" w:hAnsi="Museo Sans Rounded 900" w:cstheme="majorBidi"/>
          <w:spacing w:val="10"/>
          <w:kern w:val="28"/>
          <w:sz w:val="36"/>
          <w:szCs w:val="36"/>
        </w:rPr>
      </w:pPr>
      <w:r>
        <w:br w:type="page"/>
      </w:r>
    </w:p>
    <w:p w14:paraId="75AA6E77" w14:textId="24364FB1" w:rsidR="00C23C47" w:rsidRPr="00C23C47" w:rsidRDefault="00722C02" w:rsidP="00116F6B">
      <w:pPr>
        <w:pStyle w:val="Rubrik1"/>
      </w:pPr>
      <w:bookmarkStart w:id="19" w:name="_Toc152920028"/>
      <w:r>
        <w:t>Klimatredovisningens</w:t>
      </w:r>
      <w:r w:rsidR="00E14ED5">
        <w:t xml:space="preserve"> innehåll</w:t>
      </w:r>
      <w:r w:rsidR="00E53EBC">
        <w:t>, poster och beräkningsmetoder</w:t>
      </w:r>
      <w:bookmarkEnd w:id="19"/>
      <w:r w:rsidR="00DD2218">
        <w:br/>
      </w:r>
    </w:p>
    <w:p w14:paraId="265CBCE6" w14:textId="77777777" w:rsidR="00C23C47" w:rsidRDefault="00BC7133" w:rsidP="00C23C47">
      <w:r>
        <w:t>D</w:t>
      </w:r>
      <w:r w:rsidR="00C23C47">
        <w:t xml:space="preserve">enna vägledning </w:t>
      </w:r>
      <w:r w:rsidR="00321716">
        <w:t xml:space="preserve">har delats in i </w:t>
      </w:r>
      <w:r w:rsidR="00C23C47">
        <w:t>olika poster</w:t>
      </w:r>
      <w:r w:rsidR="00E53EBC">
        <w:t xml:space="preserve"> som </w:t>
      </w:r>
      <w:r w:rsidR="00CE7D5E">
        <w:t>helt, eller till viss del, är</w:t>
      </w:r>
      <w:r w:rsidR="00E53EBC">
        <w:t xml:space="preserve"> relevanta för regioner</w:t>
      </w:r>
      <w:r w:rsidR="00321716">
        <w:t>. En liknande uppdelnin</w:t>
      </w:r>
      <w:r w:rsidR="00E53EBC">
        <w:t>g</w:t>
      </w:r>
      <w:r w:rsidR="00321716">
        <w:t xml:space="preserve"> har tidigare gjorts</w:t>
      </w:r>
      <w:r w:rsidR="006069B7">
        <w:t xml:space="preserve"> </w:t>
      </w:r>
      <w:r w:rsidR="00C23C47">
        <w:t xml:space="preserve">till </w:t>
      </w:r>
      <w:r w:rsidR="00321716">
        <w:t xml:space="preserve">SKR:s </w:t>
      </w:r>
      <w:r w:rsidR="00C23C47">
        <w:t>Öppna Jämförelser. En post kan bestå av flera olika delposter</w:t>
      </w:r>
      <w:r w:rsidR="00321716">
        <w:t xml:space="preserve"> som inte syns i sammanställningen av resultatet</w:t>
      </w:r>
      <w:r w:rsidR="00C23C47">
        <w:t xml:space="preserve">. Under varje post redovisas följande </w:t>
      </w:r>
      <w:r w:rsidR="00C23C47" w:rsidRPr="00DA23F1">
        <w:t>underrubriker</w:t>
      </w:r>
      <w:r w:rsidR="00C23C47">
        <w:t>:</w:t>
      </w:r>
    </w:p>
    <w:p w14:paraId="4EC78C29" w14:textId="77777777" w:rsidR="00C23C47" w:rsidRPr="00433FC1" w:rsidRDefault="00C23C47" w:rsidP="00C23C47">
      <w:pPr>
        <w:spacing w:after="0"/>
        <w:rPr>
          <w:b/>
          <w:iCs/>
        </w:rPr>
      </w:pPr>
      <w:r w:rsidRPr="00433FC1">
        <w:rPr>
          <w:b/>
          <w:iCs/>
        </w:rPr>
        <w:t>Omfattning</w:t>
      </w:r>
      <w:r w:rsidR="00422D7E" w:rsidRPr="00433FC1">
        <w:rPr>
          <w:b/>
          <w:iCs/>
        </w:rPr>
        <w:t xml:space="preserve"> och </w:t>
      </w:r>
      <w:r w:rsidRPr="00433FC1">
        <w:rPr>
          <w:b/>
          <w:iCs/>
        </w:rPr>
        <w:t>avgränsningar</w:t>
      </w:r>
    </w:p>
    <w:p w14:paraId="5858DB1B" w14:textId="77777777" w:rsidR="00C23C47" w:rsidRDefault="00C23C47" w:rsidP="00C23C47">
      <w:r>
        <w:t xml:space="preserve">Här ges </w:t>
      </w:r>
      <w:r w:rsidR="006F08B2">
        <w:t xml:space="preserve">förslag och </w:t>
      </w:r>
      <w:r>
        <w:t xml:space="preserve">rekommendationer om vilka delar av verksamheten som bör ingå i beräkningarna och delar som </w:t>
      </w:r>
      <w:r w:rsidR="00EA30DC">
        <w:t xml:space="preserve">regionen </w:t>
      </w:r>
      <w:r>
        <w:t xml:space="preserve">kan jobba med på </w:t>
      </w:r>
      <w:r w:rsidR="00BB7D7C">
        <w:t>en mer avancerad nivå</w:t>
      </w:r>
      <w:r>
        <w:t>.</w:t>
      </w:r>
      <w:r w:rsidR="00A5164D">
        <w:t xml:space="preserve"> </w:t>
      </w:r>
    </w:p>
    <w:p w14:paraId="63DA8F52" w14:textId="77777777" w:rsidR="00C23C47" w:rsidRPr="00433FC1" w:rsidRDefault="00C23C47" w:rsidP="00C23C47">
      <w:pPr>
        <w:spacing w:after="0"/>
        <w:rPr>
          <w:b/>
          <w:iCs/>
        </w:rPr>
      </w:pPr>
      <w:r w:rsidRPr="00433FC1">
        <w:rPr>
          <w:b/>
          <w:iCs/>
        </w:rPr>
        <w:t>Underlag och beräkningsmetod</w:t>
      </w:r>
    </w:p>
    <w:p w14:paraId="52B927F0" w14:textId="77777777" w:rsidR="00C23C47" w:rsidRDefault="00C23C47" w:rsidP="00C23C47">
      <w:r>
        <w:t xml:space="preserve">Här ges </w:t>
      </w:r>
      <w:r w:rsidR="006F08B2">
        <w:t xml:space="preserve">förslag och </w:t>
      </w:r>
      <w:r>
        <w:t xml:space="preserve">rekommendationer om vilken typ av underlag som beräkningarna bör baseras på och tips på hur man kan får tillgång till sådant underlag. </w:t>
      </w:r>
      <w:r w:rsidR="001C6EE6">
        <w:t>B</w:t>
      </w:r>
      <w:r>
        <w:t xml:space="preserve">eräkningsmetod </w:t>
      </w:r>
      <w:r w:rsidR="001C6EE6">
        <w:t>som kan och</w:t>
      </w:r>
      <w:r w:rsidR="00581324">
        <w:t xml:space="preserve">/eller bör användas </w:t>
      </w:r>
      <w:r>
        <w:t xml:space="preserve">beskrivs också. </w:t>
      </w:r>
      <w:r w:rsidR="00321716">
        <w:t>I många fall finns en eftersläpning på t</w:t>
      </w:r>
      <w:r w:rsidR="00866B3F">
        <w:t>vå</w:t>
      </w:r>
      <w:r w:rsidR="00321716">
        <w:t xml:space="preserve"> år för tillgängliga </w:t>
      </w:r>
      <w:r>
        <w:t>emissionsfaktorer</w:t>
      </w:r>
      <w:r w:rsidR="00866B3F">
        <w:t xml:space="preserve"> från </w:t>
      </w:r>
      <w:r w:rsidR="00E53EBC">
        <w:t xml:space="preserve">till exempel </w:t>
      </w:r>
      <w:r w:rsidR="00866B3F">
        <w:t xml:space="preserve">Energimyndigheten och </w:t>
      </w:r>
      <w:r>
        <w:t xml:space="preserve">för fordonsbränslen med olika inblandning av förnybart och fjärrvärme. </w:t>
      </w:r>
    </w:p>
    <w:p w14:paraId="3A07D396" w14:textId="77777777" w:rsidR="00517C79" w:rsidRDefault="00517C79" w:rsidP="00C23C47"/>
    <w:p w14:paraId="594CE573" w14:textId="77777777" w:rsidR="00433FC1" w:rsidRPr="00D6005F" w:rsidRDefault="00E14ED5" w:rsidP="008A70A4">
      <w:pPr>
        <w:pStyle w:val="Rubrik2"/>
        <w:numPr>
          <w:ilvl w:val="0"/>
          <w:numId w:val="27"/>
        </w:numPr>
      </w:pPr>
      <w:bookmarkStart w:id="20" w:name="_Toc152920029"/>
      <w:r w:rsidRPr="002B7BAC">
        <w:t>Fastigheter</w:t>
      </w:r>
      <w:bookmarkEnd w:id="20"/>
    </w:p>
    <w:p w14:paraId="760B6350" w14:textId="77777777" w:rsidR="0019178C" w:rsidRPr="00EF30F7" w:rsidRDefault="0019178C" w:rsidP="0019178C">
      <w:r w:rsidRPr="00EF30F7">
        <w:t>I verktyget ska regionen redovisa</w:t>
      </w:r>
      <w:r w:rsidR="00A5164D" w:rsidRPr="00EF30F7">
        <w:t xml:space="preserve"> data för</w:t>
      </w:r>
      <w:r w:rsidRPr="00EF30F7">
        <w:t>:</w:t>
      </w:r>
    </w:p>
    <w:p w14:paraId="2DEDDB8A" w14:textId="77777777" w:rsidR="0019178C" w:rsidRDefault="0019178C" w:rsidP="0019178C">
      <w:pPr>
        <w:pStyle w:val="Liststycke"/>
        <w:numPr>
          <w:ilvl w:val="0"/>
          <w:numId w:val="13"/>
        </w:numPr>
      </w:pPr>
      <w:r>
        <w:t>Egenägda fastigheter</w:t>
      </w:r>
    </w:p>
    <w:p w14:paraId="190C1121" w14:textId="77777777" w:rsidR="0019178C" w:rsidRDefault="0019178C" w:rsidP="0019178C">
      <w:pPr>
        <w:pStyle w:val="Liststycke"/>
        <w:numPr>
          <w:ilvl w:val="0"/>
          <w:numId w:val="13"/>
        </w:numPr>
      </w:pPr>
      <w:r>
        <w:t>Hyrda fastigheter</w:t>
      </w:r>
    </w:p>
    <w:p w14:paraId="7EF9EA36" w14:textId="77777777" w:rsidR="00A5164D" w:rsidRDefault="00A5164D" w:rsidP="00E4053D">
      <w:r>
        <w:t xml:space="preserve">Normalt har regionerna god kontroll på uppgifter om </w:t>
      </w:r>
      <w:r w:rsidR="009A57F2">
        <w:t>media</w:t>
      </w:r>
      <w:r>
        <w:t xml:space="preserve">användningen i egna lokaler. </w:t>
      </w:r>
      <w:r w:rsidR="0020178F" w:rsidRPr="00116F6B">
        <w:t>Årlig inrapportering av regionernas fastighetsnyckeltal görs till SKR. Förutom sjukhusområden och vårdcentraler ingår där även övriga anläggningar såsom administrativa byggnader, folkhögskolor, naturbruksgymnasier, vård- och vårdhögskolor, personalbostäder. Trafikfastigheter</w:t>
      </w:r>
      <w:r w:rsidR="0020178F">
        <w:t xml:space="preserve"> är exkluderade. </w:t>
      </w:r>
      <w:r>
        <w:t xml:space="preserve">Insamlingen omfattar bland annat elanvändning, egenproducerad el (som en däravpost), fjärrkyla, köpt fjärrvärme och normalårskorrigerad fjärrvärme. Även egenproducerad värme ingår i rapporteringen till SKR, men behöver inte rapporteras här då </w:t>
      </w:r>
      <w:r w:rsidR="00E4702E">
        <w:t xml:space="preserve">de </w:t>
      </w:r>
      <w:r>
        <w:t>tillhörande utsläppen fångas upp för el samt köldmedia.</w:t>
      </w:r>
    </w:p>
    <w:p w14:paraId="549B27E8" w14:textId="77777777" w:rsidR="002146CB" w:rsidRPr="00301573" w:rsidRDefault="002146CB" w:rsidP="00E4053D">
      <w:r>
        <w:t xml:space="preserve">Lokaler som hyrs ut av regionerna ska </w:t>
      </w:r>
      <w:r w:rsidRPr="00301573">
        <w:t xml:space="preserve">rapporteras in i data för </w:t>
      </w:r>
      <w:r w:rsidRPr="00301573">
        <w:rPr>
          <w:i/>
          <w:iCs/>
        </w:rPr>
        <w:t>Egenägda fastigheter</w:t>
      </w:r>
      <w:r w:rsidRPr="00301573">
        <w:t xml:space="preserve">. </w:t>
      </w:r>
    </w:p>
    <w:p w14:paraId="5F56C6B9" w14:textId="7A6D6FC2" w:rsidR="00A5164D" w:rsidRPr="00301573" w:rsidRDefault="00A5164D" w:rsidP="00E4053D">
      <w:r w:rsidRPr="00301573">
        <w:t xml:space="preserve">SKR rapport </w:t>
      </w:r>
      <w:hyperlink r:id="rId23" w:history="1">
        <w:r w:rsidRPr="00301573">
          <w:rPr>
            <w:rStyle w:val="Hyperlnk"/>
          </w:rPr>
          <w:t>Fastighetsnyckeltal för regioner</w:t>
        </w:r>
      </w:hyperlink>
    </w:p>
    <w:p w14:paraId="1F128013" w14:textId="77777777" w:rsidR="00FD5C86" w:rsidRDefault="009A57F2" w:rsidP="009A57F2">
      <w:r w:rsidRPr="00301573">
        <w:t>I</w:t>
      </w:r>
      <w:r>
        <w:t xml:space="preserve"> första hand används verklig användning. Inte alla regioner har tillgång till uppgifter för hyrda fastigheter. Information kan erhållas genom en förfrågan till leverantör, sammanställning av fakturor eller från elmätare i lokalerna. </w:t>
      </w:r>
    </w:p>
    <w:p w14:paraId="23C81CB7" w14:textId="77777777" w:rsidR="00FD5C86" w:rsidRDefault="00FD5C86">
      <w:pPr>
        <w:spacing w:line="259" w:lineRule="auto"/>
      </w:pPr>
      <w:r>
        <w:br w:type="page"/>
      </w:r>
    </w:p>
    <w:tbl>
      <w:tblPr>
        <w:tblStyle w:val="Tabellrutnt"/>
        <w:tblW w:w="0" w:type="auto"/>
        <w:tblCellMar>
          <w:top w:w="57" w:type="dxa"/>
          <w:bottom w:w="57" w:type="dxa"/>
        </w:tblCellMar>
        <w:tblLook w:val="04A0" w:firstRow="1" w:lastRow="0" w:firstColumn="1" w:lastColumn="0" w:noHBand="0" w:noVBand="1"/>
      </w:tblPr>
      <w:tblGrid>
        <w:gridCol w:w="9062"/>
      </w:tblGrid>
      <w:tr w:rsidR="009A57F2" w14:paraId="2A04619A" w14:textId="77777777" w:rsidTr="00390823">
        <w:tc>
          <w:tcPr>
            <w:tcW w:w="9062" w:type="dxa"/>
          </w:tcPr>
          <w:p w14:paraId="4F025AB7" w14:textId="77777777" w:rsidR="009A57F2" w:rsidRPr="00D728C8" w:rsidRDefault="009A57F2" w:rsidP="002263EC">
            <w:pPr>
              <w:rPr>
                <w:b/>
                <w:bCs/>
              </w:rPr>
            </w:pPr>
            <w:r w:rsidRPr="00D728C8">
              <w:rPr>
                <w:b/>
                <w:bCs/>
              </w:rPr>
              <w:t xml:space="preserve">Har du svårt att få fram </w:t>
            </w:r>
            <w:r>
              <w:rPr>
                <w:b/>
                <w:bCs/>
              </w:rPr>
              <w:t>faktiskt användning av el, värme</w:t>
            </w:r>
            <w:r w:rsidR="00F600DC">
              <w:rPr>
                <w:b/>
                <w:bCs/>
              </w:rPr>
              <w:t>, kyla</w:t>
            </w:r>
            <w:r>
              <w:rPr>
                <w:b/>
                <w:bCs/>
              </w:rPr>
              <w:t xml:space="preserve"> och vatten</w:t>
            </w:r>
            <w:r w:rsidRPr="00D728C8">
              <w:rPr>
                <w:b/>
                <w:bCs/>
              </w:rPr>
              <w:t>?</w:t>
            </w:r>
          </w:p>
          <w:p w14:paraId="285F0E33" w14:textId="77777777" w:rsidR="009A57F2" w:rsidRPr="00D728C8" w:rsidRDefault="009A57F2" w:rsidP="002263EC">
            <w:pPr>
              <w:rPr>
                <w:b/>
                <w:bCs/>
              </w:rPr>
            </w:pPr>
          </w:p>
          <w:p w14:paraId="61B08DB2" w14:textId="77777777" w:rsidR="009A57F2" w:rsidRDefault="009A57F2" w:rsidP="002263EC">
            <w:r>
              <w:t xml:space="preserve">Om det inte finns tillgänglig information kan regionen: </w:t>
            </w:r>
          </w:p>
          <w:p w14:paraId="4D38D754" w14:textId="77777777" w:rsidR="009A57F2" w:rsidRDefault="009A57F2" w:rsidP="002263EC">
            <w:pPr>
              <w:pStyle w:val="Liststycke"/>
              <w:numPr>
                <w:ilvl w:val="0"/>
                <w:numId w:val="10"/>
              </w:numPr>
            </w:pPr>
            <w:r>
              <w:t>Beräkna en egen schablon utifrån användningen i egna lokaler med liknande verksamhet (kWh/kvm)</w:t>
            </w:r>
            <w:r w:rsidR="0002546F">
              <w:t>, (m</w:t>
            </w:r>
            <w:r w:rsidR="0002546F">
              <w:rPr>
                <w:vertAlign w:val="superscript"/>
              </w:rPr>
              <w:t>3</w:t>
            </w:r>
            <w:r w:rsidR="0002546F">
              <w:t>/kvm).</w:t>
            </w:r>
          </w:p>
          <w:p w14:paraId="18A9A06A" w14:textId="161C78D6" w:rsidR="00F600DC" w:rsidRPr="00F600DC" w:rsidRDefault="009A57F2" w:rsidP="00F600DC">
            <w:pPr>
              <w:pStyle w:val="Liststycke"/>
              <w:numPr>
                <w:ilvl w:val="0"/>
                <w:numId w:val="10"/>
              </w:numPr>
            </w:pPr>
            <w:r>
              <w:t xml:space="preserve">Använda schabloner i verktyget </w:t>
            </w:r>
            <w:r w:rsidR="00F600DC">
              <w:t xml:space="preserve">för el, värme och kyla </w:t>
            </w:r>
            <w:r>
              <w:t xml:space="preserve">genom att välja kategorierna </w:t>
            </w:r>
            <w:r w:rsidR="007B1B5E" w:rsidRPr="00F600DC">
              <w:rPr>
                <w:i/>
                <w:iCs/>
              </w:rPr>
              <w:t>Schablon</w:t>
            </w:r>
            <w:r w:rsidR="007B1B5E">
              <w:t xml:space="preserve">: </w:t>
            </w:r>
            <w:r>
              <w:rPr>
                <w:i/>
              </w:rPr>
              <w:t>T</w:t>
            </w:r>
            <w:r w:rsidRPr="008C1B49">
              <w:rPr>
                <w:i/>
              </w:rPr>
              <w:t>otal lokalyta</w:t>
            </w:r>
            <w:r w:rsidR="00F600DC">
              <w:rPr>
                <w:i/>
              </w:rPr>
              <w:t xml:space="preserve"> …</w:t>
            </w:r>
            <w:r w:rsidRPr="008C1B49">
              <w:rPr>
                <w:i/>
              </w:rPr>
              <w:t xml:space="preserve"> </w:t>
            </w:r>
            <w:r w:rsidR="007B1B5E">
              <w:rPr>
                <w:i/>
              </w:rPr>
              <w:t>(</w:t>
            </w:r>
            <w:r w:rsidR="003E45F7">
              <w:rPr>
                <w:i/>
              </w:rPr>
              <w:t xml:space="preserve">total, </w:t>
            </w:r>
            <w:r w:rsidR="007B1B5E">
              <w:rPr>
                <w:i/>
              </w:rPr>
              <w:t>vårdlokal och övrig lokal)</w:t>
            </w:r>
            <w:r w:rsidR="00A163A9">
              <w:rPr>
                <w:i/>
              </w:rPr>
              <w:t>. Dessa schabloner utgår från indata i form av m</w:t>
            </w:r>
            <w:r w:rsidR="00A163A9" w:rsidRPr="00A163A9">
              <w:rPr>
                <w:i/>
                <w:vertAlign w:val="superscript"/>
              </w:rPr>
              <w:t>2</w:t>
            </w:r>
            <w:r w:rsidR="00A163A9">
              <w:rPr>
                <w:i/>
              </w:rPr>
              <w:t>Atemp.</w:t>
            </w:r>
          </w:p>
          <w:p w14:paraId="3E7BAF64" w14:textId="77777777" w:rsidR="009A57F2" w:rsidRDefault="009A57F2" w:rsidP="00F600DC">
            <w:pPr>
              <w:pStyle w:val="Liststycke"/>
              <w:numPr>
                <w:ilvl w:val="0"/>
                <w:numId w:val="10"/>
              </w:numPr>
            </w:pPr>
            <w:r>
              <w:t xml:space="preserve">Använda information i energideklarationen (obs! endast </w:t>
            </w:r>
            <w:r w:rsidR="00141F04">
              <w:t xml:space="preserve">för </w:t>
            </w:r>
            <w:r>
              <w:t>fastighetsel och värme)</w:t>
            </w:r>
          </w:p>
        </w:tc>
      </w:tr>
    </w:tbl>
    <w:p w14:paraId="0521155C" w14:textId="77777777" w:rsidR="00AA125B" w:rsidRDefault="00AA125B" w:rsidP="00AA125B">
      <w:bookmarkStart w:id="21" w:name="_Toc92867326"/>
      <w:bookmarkStart w:id="22" w:name="_Toc93482397"/>
    </w:p>
    <w:p w14:paraId="613D17AD" w14:textId="77777777" w:rsidR="00E14ED5" w:rsidRDefault="00E14ED5" w:rsidP="00DF56D9">
      <w:pPr>
        <w:pStyle w:val="Rubrik3"/>
      </w:pPr>
      <w:bookmarkStart w:id="23" w:name="_Toc152920030"/>
      <w:r>
        <w:t>El</w:t>
      </w:r>
      <w:bookmarkEnd w:id="21"/>
      <w:bookmarkEnd w:id="22"/>
      <w:bookmarkEnd w:id="23"/>
    </w:p>
    <w:p w14:paraId="7FC23CF5" w14:textId="77777777" w:rsidR="00E72663" w:rsidRPr="00E72663" w:rsidRDefault="00E72663" w:rsidP="00E72663">
      <w:pPr>
        <w:pStyle w:val="Rubrik4"/>
        <w:rPr>
          <w:i/>
        </w:rPr>
      </w:pPr>
      <w:r w:rsidRPr="00E72663">
        <w:t>Omfattning/avgränsningar</w:t>
      </w:r>
    </w:p>
    <w:p w14:paraId="59A97F89" w14:textId="77777777" w:rsidR="00BE1483" w:rsidRDefault="00E72663" w:rsidP="0019178C">
      <w:r w:rsidRPr="0048663A">
        <w:t xml:space="preserve">Elanvändning </w:t>
      </w:r>
      <w:r w:rsidR="00866B3F">
        <w:t xml:space="preserve">till både </w:t>
      </w:r>
      <w:r w:rsidRPr="0048663A">
        <w:t>fastighetsel</w:t>
      </w:r>
      <w:r w:rsidR="00866B3F">
        <w:t>,</w:t>
      </w:r>
      <w:r w:rsidRPr="0048663A">
        <w:t xml:space="preserve"> verksamhetsel</w:t>
      </w:r>
      <w:r w:rsidR="00C52547">
        <w:t xml:space="preserve"> samt</w:t>
      </w:r>
      <w:r w:rsidR="008337A7">
        <w:t xml:space="preserve"> e</w:t>
      </w:r>
      <w:r w:rsidR="00D17EE5">
        <w:t>lbaserad kyla</w:t>
      </w:r>
      <w:r w:rsidR="001208E3">
        <w:t xml:space="preserve"> och värme</w:t>
      </w:r>
      <w:r w:rsidR="00D17EE5">
        <w:t xml:space="preserve"> </w:t>
      </w:r>
      <w:r w:rsidR="008337A7">
        <w:t>ingår</w:t>
      </w:r>
      <w:r w:rsidR="00D17EE5">
        <w:t xml:space="preserve"> i denna post.</w:t>
      </w:r>
      <w:r w:rsidR="00D067AB">
        <w:t xml:space="preserve"> </w:t>
      </w:r>
      <w:r w:rsidR="00A5164D">
        <w:t>Elanvändningen</w:t>
      </w:r>
      <w:r w:rsidR="00AE43BD">
        <w:t xml:space="preserve"> ska</w:t>
      </w:r>
      <w:r w:rsidR="00A5164D">
        <w:t xml:space="preserve"> redovisas</w:t>
      </w:r>
      <w:r w:rsidR="0019178C">
        <w:t xml:space="preserve"> </w:t>
      </w:r>
      <w:r w:rsidR="00AE43BD">
        <w:t>som</w:t>
      </w:r>
      <w:r w:rsidR="0019178C">
        <w:t xml:space="preserve"> antal kWh för respektive </w:t>
      </w:r>
      <w:r w:rsidR="00AE43BD">
        <w:t>produktionstyp</w:t>
      </w:r>
      <w:r w:rsidR="0019178C">
        <w:t xml:space="preserve"> (vattenkraft, kärnkraft med mera) som köps in. </w:t>
      </w:r>
    </w:p>
    <w:p w14:paraId="568E8069" w14:textId="77777777" w:rsidR="00E4702E" w:rsidRPr="00A44494" w:rsidRDefault="0019178C" w:rsidP="0019178C">
      <w:r>
        <w:t xml:space="preserve">I resultatet ska så väl market based method och location-based method redovisas, se </w:t>
      </w:r>
      <w:r w:rsidR="00E4702E" w:rsidRPr="00A44494">
        <w:t xml:space="preserve">ovan i avsnittet </w:t>
      </w:r>
      <w:r w:rsidR="00B7083D" w:rsidRPr="00A44494">
        <w:rPr>
          <w:i/>
          <w:iCs/>
        </w:rPr>
        <w:t>Föreslagen</w:t>
      </w:r>
      <w:r w:rsidR="00A35B08" w:rsidRPr="00A44494">
        <w:rPr>
          <w:i/>
          <w:iCs/>
        </w:rPr>
        <w:t xml:space="preserve"> metod</w:t>
      </w:r>
      <w:r w:rsidRPr="00A44494">
        <w:t>.</w:t>
      </w:r>
      <w:r w:rsidR="00BE1483" w:rsidRPr="00A44494">
        <w:t xml:space="preserve"> </w:t>
      </w:r>
      <w:r w:rsidR="00AE43BD" w:rsidRPr="00A44494">
        <w:t xml:space="preserve">Detta görs automatiskt i verktyget. </w:t>
      </w:r>
    </w:p>
    <w:p w14:paraId="33E12D96" w14:textId="507BE09A" w:rsidR="0019178C" w:rsidRDefault="0019178C" w:rsidP="0019178C">
      <w:r w:rsidRPr="00A44494">
        <w:t xml:space="preserve">Vid beräkning enligt location-based method används en utsläppsfaktor för all inköpt el baserat på </w:t>
      </w:r>
      <w:r w:rsidRPr="00A44494">
        <w:rPr>
          <w:b/>
          <w:bCs/>
        </w:rPr>
        <w:t>nordisk elmix</w:t>
      </w:r>
      <w:r w:rsidR="0053243C" w:rsidRPr="00A44494">
        <w:rPr>
          <w:b/>
          <w:bCs/>
        </w:rPr>
        <w:t xml:space="preserve"> </w:t>
      </w:r>
      <w:r w:rsidR="005055A8" w:rsidRPr="00A44494">
        <w:rPr>
          <w:b/>
          <w:bCs/>
        </w:rPr>
        <w:t>inkluderat import</w:t>
      </w:r>
      <w:r w:rsidR="00A44494">
        <w:rPr>
          <w:b/>
          <w:bCs/>
        </w:rPr>
        <w:t xml:space="preserve"> och export</w:t>
      </w:r>
      <w:r w:rsidRPr="00A44494">
        <w:t>. Detta eftersom det nordiska elnätet är sammanflätat</w:t>
      </w:r>
      <w:r w:rsidR="005055A8" w:rsidRPr="00A44494">
        <w:t xml:space="preserve"> och även förbundet med kontinenten.</w:t>
      </w:r>
      <w:r w:rsidRPr="00A44494">
        <w:t xml:space="preserve"> </w:t>
      </w:r>
      <w:r w:rsidR="005055A8" w:rsidRPr="00A44494">
        <w:t>En sådan faktor har tagits fram av IVL på uppdrag av Naturvårdsverket.</w:t>
      </w:r>
    </w:p>
    <w:p w14:paraId="609EAD7B" w14:textId="77777777" w:rsidR="00492BC1" w:rsidRDefault="0019178C" w:rsidP="0019178C">
      <w:r w:rsidRPr="005D3044">
        <w:t xml:space="preserve">Vid beräkning enligt market based method används specifika utsläppsfaktorer för egenproducerad el och el med ursprungsgaranti och nordisk residualmix för övrig el. </w:t>
      </w:r>
    </w:p>
    <w:p w14:paraId="4272274B" w14:textId="77777777" w:rsidR="003F1F6C" w:rsidRDefault="008337A7" w:rsidP="003F1F6C">
      <w:r w:rsidRPr="00E4702E">
        <w:rPr>
          <w:b/>
          <w:bCs/>
        </w:rPr>
        <w:t>Egen produktion av förnybar el</w:t>
      </w:r>
      <w:r>
        <w:t>, exempelvis via solceller,</w:t>
      </w:r>
      <w:r w:rsidRPr="0048663A">
        <w:t xml:space="preserve"> som används i den egna verksamheten ska </w:t>
      </w:r>
      <w:r>
        <w:t xml:space="preserve">också </w:t>
      </w:r>
      <w:r w:rsidR="00C95D7F">
        <w:t>beräknas</w:t>
      </w:r>
      <w:r>
        <w:t>.</w:t>
      </w:r>
      <w:r w:rsidR="0026539A">
        <w:t xml:space="preserve"> Det är </w:t>
      </w:r>
      <w:r w:rsidR="00866B3F">
        <w:t xml:space="preserve">dock </w:t>
      </w:r>
      <w:r w:rsidR="0026539A">
        <w:t xml:space="preserve">viktigt att </w:t>
      </w:r>
      <w:r w:rsidR="00AE64E0">
        <w:t>den egenproducerade elen inte dubbelräknas</w:t>
      </w:r>
      <w:r w:rsidR="00866B3F">
        <w:t xml:space="preserve"> med </w:t>
      </w:r>
      <w:r w:rsidR="00340D0F">
        <w:t>in</w:t>
      </w:r>
      <w:r w:rsidR="00866B3F">
        <w:t>köpt el.</w:t>
      </w:r>
      <w:r w:rsidR="0019178C">
        <w:t xml:space="preserve"> </w:t>
      </w:r>
      <w:r w:rsidR="00492BC1">
        <w:t>P</w:t>
      </w:r>
      <w:r w:rsidR="0019178C">
        <w:t>roduktion av förnybar el</w:t>
      </w:r>
      <w:r w:rsidR="00492BC1">
        <w:t xml:space="preserve"> har inga</w:t>
      </w:r>
      <w:r w:rsidR="0019178C">
        <w:t xml:space="preserve"> utsläpp i scope 2</w:t>
      </w:r>
      <w:r w:rsidR="00492BC1">
        <w:t>,</w:t>
      </w:r>
      <w:r w:rsidR="0019178C">
        <w:t xml:space="preserve"> eftersom det inte sker några direkta utsläpp vid produktionen av el. Däremot </w:t>
      </w:r>
      <w:r w:rsidR="00492BC1">
        <w:t>redovisas tillhöra</w:t>
      </w:r>
      <w:r w:rsidR="00A5164D">
        <w:t>n</w:t>
      </w:r>
      <w:r w:rsidR="00492BC1">
        <w:t xml:space="preserve">de </w:t>
      </w:r>
      <w:r w:rsidR="0019178C">
        <w:t xml:space="preserve">livscykelutsläpp </w:t>
      </w:r>
      <w:r w:rsidR="00492BC1">
        <w:t xml:space="preserve">i scope 3, från </w:t>
      </w:r>
      <w:r w:rsidR="0019178C">
        <w:t xml:space="preserve">produktion av systemet och underhåll. </w:t>
      </w:r>
    </w:p>
    <w:p w14:paraId="305A3965" w14:textId="77777777" w:rsidR="00473F1E" w:rsidRDefault="00473F1E" w:rsidP="003F1F6C">
      <w:r>
        <w:t xml:space="preserve">Lokaler som hyrs ut av regionerna ska rapporteras in i data för </w:t>
      </w:r>
      <w:r w:rsidRPr="002146CB">
        <w:rPr>
          <w:i/>
          <w:iCs/>
        </w:rPr>
        <w:t>Egenägda fastigheter</w:t>
      </w:r>
      <w:r w:rsidR="00A302B2">
        <w:rPr>
          <w:i/>
          <w:iCs/>
        </w:rPr>
        <w:t xml:space="preserve">, </w:t>
      </w:r>
      <w:r w:rsidR="00A302B2">
        <w:t>även om hyresgästen själv ansvarar för inköpet</w:t>
      </w:r>
      <w:r>
        <w:t xml:space="preserve">. </w:t>
      </w:r>
    </w:p>
    <w:p w14:paraId="1058A6AB" w14:textId="77777777" w:rsidR="00E72663" w:rsidRPr="003F1F6C" w:rsidRDefault="00E72663" w:rsidP="003F1F6C">
      <w:pPr>
        <w:pStyle w:val="Rubrik4"/>
      </w:pPr>
      <w:r w:rsidRPr="003F1F6C">
        <w:t xml:space="preserve">Underlag och beräkningsmetod </w:t>
      </w:r>
    </w:p>
    <w:p w14:paraId="33FEB2D5" w14:textId="77777777" w:rsidR="005046B7" w:rsidRPr="00BC0CFD" w:rsidRDefault="009A57F2" w:rsidP="00E72663">
      <w:pPr>
        <w:rPr>
          <w:iCs/>
        </w:rPr>
      </w:pPr>
      <w:r>
        <w:t xml:space="preserve">I första hand används </w:t>
      </w:r>
      <w:r w:rsidR="0002546F">
        <w:t>faktiskt</w:t>
      </w:r>
      <w:r>
        <w:t xml:space="preserve"> användning. Om det inte finns tillgängligt se rekommendation under rubrik </w:t>
      </w:r>
      <w:r>
        <w:rPr>
          <w:i/>
        </w:rPr>
        <w:t xml:space="preserve">Fastigheter </w:t>
      </w:r>
      <w:r w:rsidRPr="005E6CD1">
        <w:t>ovan</w:t>
      </w:r>
      <w:r>
        <w:rPr>
          <w:i/>
        </w:rPr>
        <w:t>.</w:t>
      </w:r>
      <w:r w:rsidR="00BC0CFD">
        <w:rPr>
          <w:i/>
        </w:rPr>
        <w:t xml:space="preserve"> </w:t>
      </w:r>
      <w:r w:rsidR="00BC0CFD">
        <w:rPr>
          <w:iCs/>
        </w:rPr>
        <w:t xml:space="preserve">I de fall som schablon används </w:t>
      </w:r>
      <w:r w:rsidR="00C22BD2">
        <w:rPr>
          <w:iCs/>
        </w:rPr>
        <w:t>avser detta både fastighetsel och verksamhetsel.</w:t>
      </w:r>
    </w:p>
    <w:p w14:paraId="4D1F5E82" w14:textId="77777777" w:rsidR="005046B7" w:rsidRDefault="005046B7" w:rsidP="00E72663">
      <w:pPr>
        <w:rPr>
          <w:i/>
        </w:rPr>
      </w:pPr>
    </w:p>
    <w:p w14:paraId="477985DB" w14:textId="77777777" w:rsidR="00D6005F" w:rsidRDefault="00E14ED5" w:rsidP="00DF56D9">
      <w:pPr>
        <w:pStyle w:val="Rubrik3"/>
      </w:pPr>
      <w:bookmarkStart w:id="24" w:name="_Toc92867327"/>
      <w:bookmarkStart w:id="25" w:name="_Toc93482398"/>
      <w:bookmarkStart w:id="26" w:name="_Toc152920031"/>
      <w:r>
        <w:t>Värme och kyl</w:t>
      </w:r>
      <w:r w:rsidR="00D6005F">
        <w:t>a</w:t>
      </w:r>
      <w:bookmarkEnd w:id="24"/>
      <w:bookmarkEnd w:id="25"/>
      <w:bookmarkEnd w:id="26"/>
    </w:p>
    <w:p w14:paraId="1C10FA3A" w14:textId="77777777" w:rsidR="00E14E8E" w:rsidRDefault="00E14E8E" w:rsidP="00E14E8E">
      <w:r w:rsidRPr="003F1F6C">
        <w:rPr>
          <w:rStyle w:val="Rubrik4Char"/>
        </w:rPr>
        <w:t>Omfattning/avgränsningar</w:t>
      </w:r>
      <w:r>
        <w:rPr>
          <w:b/>
          <w:bCs/>
        </w:rPr>
        <w:br/>
      </w:r>
      <w:r>
        <w:t>Både egenägda</w:t>
      </w:r>
      <w:r w:rsidR="0002546F">
        <w:t>,</w:t>
      </w:r>
      <w:r w:rsidR="00B111AA">
        <w:t xml:space="preserve"> </w:t>
      </w:r>
      <w:r>
        <w:t xml:space="preserve">inhyrda </w:t>
      </w:r>
      <w:r w:rsidR="00B111AA">
        <w:t>och uthyrda</w:t>
      </w:r>
      <w:r>
        <w:t xml:space="preserve"> </w:t>
      </w:r>
      <w:r w:rsidRPr="00EF30F7">
        <w:t xml:space="preserve">lokaler bör </w:t>
      </w:r>
      <w:r w:rsidR="00B111AA" w:rsidRPr="00EF30F7">
        <w:t>om möjligt</w:t>
      </w:r>
      <w:r w:rsidR="00B111AA">
        <w:t xml:space="preserve"> </w:t>
      </w:r>
      <w:r>
        <w:t>ingå i</w:t>
      </w:r>
      <w:r w:rsidR="00FD188F">
        <w:t xml:space="preserve"> denna post</w:t>
      </w:r>
      <w:r>
        <w:t xml:space="preserve">. </w:t>
      </w:r>
    </w:p>
    <w:p w14:paraId="525C4A7A" w14:textId="77777777" w:rsidR="002B3AEE" w:rsidRDefault="002B3AEE" w:rsidP="00E14E8E">
      <w:r>
        <w:t xml:space="preserve">I denna post inkluderas </w:t>
      </w:r>
      <w:r w:rsidR="00DF5E6C">
        <w:t xml:space="preserve">inköpt fjärrvärme och </w:t>
      </w:r>
      <w:r w:rsidR="0091257D">
        <w:t xml:space="preserve">värme </w:t>
      </w:r>
      <w:r w:rsidR="00DF5E6C">
        <w:t>från egna pannor</w:t>
      </w:r>
      <w:r w:rsidR="00EF30F7">
        <w:t xml:space="preserve"> och </w:t>
      </w:r>
      <w:r w:rsidR="0091257D">
        <w:t>fjärrkyla</w:t>
      </w:r>
      <w:r w:rsidR="00EF30F7">
        <w:t>. E</w:t>
      </w:r>
      <w:r w:rsidR="0091257D">
        <w:t>lbaserad kyla och värme ingår</w:t>
      </w:r>
      <w:r w:rsidR="00EF30F7">
        <w:t xml:space="preserve"> inte utan ingår </w:t>
      </w:r>
      <w:r w:rsidR="001208E3">
        <w:t>i posten El.</w:t>
      </w:r>
      <w:r w:rsidR="00B942E4">
        <w:t xml:space="preserve"> </w:t>
      </w:r>
    </w:p>
    <w:p w14:paraId="39A20822" w14:textId="77777777" w:rsidR="003A0A3D" w:rsidRDefault="003A0A3D" w:rsidP="00E14E8E">
      <w:r>
        <w:t xml:space="preserve">I verktyget </w:t>
      </w:r>
      <w:r w:rsidR="0054382F">
        <w:t>rapporteras</w:t>
      </w:r>
      <w:r w:rsidR="003236F2">
        <w:t xml:space="preserve"> uppvärmning genom fjärrvärme och uppvärmning med egen panna</w:t>
      </w:r>
      <w:r w:rsidR="0054382F">
        <w:t xml:space="preserve"> separat</w:t>
      </w:r>
      <w:r w:rsidR="003236F2">
        <w:t xml:space="preserve">. </w:t>
      </w:r>
    </w:p>
    <w:p w14:paraId="181EC3B7" w14:textId="77777777" w:rsidR="00473F1E" w:rsidRPr="00473F1E" w:rsidRDefault="00473F1E" w:rsidP="00E14E8E">
      <w:r>
        <w:t xml:space="preserve">Värme och kyla i lokaler som hyrs ut av regionerna ska rapporteras in i data för </w:t>
      </w:r>
      <w:r w:rsidRPr="002146CB">
        <w:rPr>
          <w:i/>
          <w:iCs/>
        </w:rPr>
        <w:t>Egenägda fastigheter</w:t>
      </w:r>
      <w:r>
        <w:rPr>
          <w:i/>
          <w:iCs/>
        </w:rPr>
        <w:t xml:space="preserve">, </w:t>
      </w:r>
      <w:r>
        <w:t xml:space="preserve">även om hyresgästen själv </w:t>
      </w:r>
      <w:r w:rsidR="00A302B2">
        <w:t>ansvarar för inköpet</w:t>
      </w:r>
      <w:r>
        <w:t xml:space="preserve">. </w:t>
      </w:r>
    </w:p>
    <w:p w14:paraId="6F470245" w14:textId="77777777" w:rsidR="009A57F2" w:rsidRPr="008C1B49" w:rsidRDefault="00E14E8E" w:rsidP="009A57F2">
      <w:pPr>
        <w:rPr>
          <w:i/>
        </w:rPr>
      </w:pPr>
      <w:r w:rsidRPr="003F1F6C">
        <w:rPr>
          <w:rStyle w:val="Rubrik4Char"/>
        </w:rPr>
        <w:t>Underlag och beräkningsmetod</w:t>
      </w:r>
      <w:r>
        <w:rPr>
          <w:b/>
          <w:bCs/>
        </w:rPr>
        <w:br/>
      </w:r>
      <w:r w:rsidR="009A57F2">
        <w:t xml:space="preserve">I första hand används verklig användning. Om det inte finns tillgängligt se rekommendation under rubrik </w:t>
      </w:r>
      <w:r w:rsidR="009A57F2">
        <w:rPr>
          <w:i/>
        </w:rPr>
        <w:t xml:space="preserve">Fastigheter </w:t>
      </w:r>
      <w:r w:rsidR="009A57F2" w:rsidRPr="008C1B49">
        <w:t>ovan</w:t>
      </w:r>
      <w:r w:rsidR="009A57F2">
        <w:rPr>
          <w:i/>
        </w:rPr>
        <w:t>.</w:t>
      </w:r>
    </w:p>
    <w:p w14:paraId="122EF327" w14:textId="77777777" w:rsidR="00DF5E6C" w:rsidRDefault="00DF5E6C" w:rsidP="00DF5E6C">
      <w:r>
        <w:t>För fjärrvärme bör i första hand utsläppsfaktorer för respektive fjärrvärmenät</w:t>
      </w:r>
      <w:r w:rsidR="00BE1483">
        <w:t xml:space="preserve"> användas</w:t>
      </w:r>
      <w:r>
        <w:t>. I verktyget har dessa faktorer hämtats för samtliga nät från Energiföretagen.</w:t>
      </w:r>
      <w:r w:rsidR="00BE1483">
        <w:t xml:space="preserve"> </w:t>
      </w:r>
      <w:r>
        <w:t xml:space="preserve">I verktyget finns även alternativet att använda ett medelvärde för svensk fjärrvärme. Utsläppsfaktorn </w:t>
      </w:r>
      <w:r w:rsidRPr="00086319">
        <w:rPr>
          <w:i/>
        </w:rPr>
        <w:t>förbränning</w:t>
      </w:r>
      <w:r>
        <w:t xml:space="preserve"> redovisas i scope 2 och emissionsfaktorn </w:t>
      </w:r>
      <w:r w:rsidRPr="00086319">
        <w:rPr>
          <w:i/>
        </w:rPr>
        <w:t>transport och produktion av bränslen</w:t>
      </w:r>
      <w:r>
        <w:t xml:space="preserve"> redovisas i scope 3</w:t>
      </w:r>
      <w:r w:rsidR="00BE1483">
        <w:t>.</w:t>
      </w:r>
    </w:p>
    <w:p w14:paraId="2E32C9CE" w14:textId="77777777" w:rsidR="00B00154" w:rsidRPr="003F3CA8" w:rsidRDefault="00DF5E6C" w:rsidP="00E14E8E">
      <w:pPr>
        <w:rPr>
          <w:b/>
          <w:bCs/>
        </w:rPr>
      </w:pPr>
      <w:r>
        <w:t>För egna pannor används verklig bränsleförbrukning tillsammans med emissionsfaktorer för respektive bränsle.</w:t>
      </w:r>
    </w:p>
    <w:p w14:paraId="6D74A4DF" w14:textId="77777777" w:rsidR="005046B7" w:rsidRDefault="005046B7" w:rsidP="00AA125B">
      <w:bookmarkStart w:id="27" w:name="_Toc92867328"/>
    </w:p>
    <w:p w14:paraId="2EE5F254" w14:textId="77777777" w:rsidR="00E14ED5" w:rsidRDefault="00E14ED5" w:rsidP="00DF56D9">
      <w:pPr>
        <w:pStyle w:val="Rubrik3"/>
      </w:pPr>
      <w:bookmarkStart w:id="28" w:name="_Toc93482399"/>
      <w:bookmarkStart w:id="29" w:name="_Toc152920032"/>
      <w:r>
        <w:t>Köldmedia</w:t>
      </w:r>
      <w:bookmarkEnd w:id="27"/>
      <w:bookmarkEnd w:id="28"/>
      <w:bookmarkEnd w:id="29"/>
    </w:p>
    <w:p w14:paraId="468E48F9" w14:textId="77777777" w:rsidR="00997292" w:rsidRPr="00997292" w:rsidRDefault="00997292" w:rsidP="00997292">
      <w:pPr>
        <w:pStyle w:val="Rubrik4"/>
        <w:rPr>
          <w:i/>
        </w:rPr>
      </w:pPr>
      <w:r w:rsidRPr="00997292">
        <w:t>Omfattning/avgränsningar</w:t>
      </w:r>
    </w:p>
    <w:p w14:paraId="5B9244BC" w14:textId="77777777" w:rsidR="00D3703A" w:rsidRDefault="00D3703A" w:rsidP="00997292">
      <w:r>
        <w:t xml:space="preserve">Denna post omfattar </w:t>
      </w:r>
      <w:r w:rsidRPr="006F0DA2">
        <w:rPr>
          <w:b/>
          <w:bCs/>
        </w:rPr>
        <w:t>endast egna fastigheter</w:t>
      </w:r>
      <w:r>
        <w:t>. Detta e</w:t>
      </w:r>
      <w:r w:rsidR="00997292">
        <w:t xml:space="preserve">ftersom det </w:t>
      </w:r>
      <w:r>
        <w:t>anses vara</w:t>
      </w:r>
      <w:r w:rsidR="00997292">
        <w:t xml:space="preserve"> ett omfattande arbete att kontakta alla hyresvärdar för att få in underlag</w:t>
      </w:r>
      <w:r>
        <w:t>.</w:t>
      </w:r>
    </w:p>
    <w:p w14:paraId="1563B6B1" w14:textId="77777777" w:rsidR="00997292" w:rsidRDefault="00D3703A" w:rsidP="00997292">
      <w:r>
        <w:t xml:space="preserve">Utsläpp från köldmedia beräknas endast när ett läckage skett. </w:t>
      </w:r>
      <w:r w:rsidR="00997292">
        <w:t xml:space="preserve"> </w:t>
      </w:r>
    </w:p>
    <w:p w14:paraId="2D646856" w14:textId="77777777" w:rsidR="00997292" w:rsidRPr="00997292" w:rsidRDefault="00997292" w:rsidP="00997292">
      <w:pPr>
        <w:pStyle w:val="Rubrik4"/>
        <w:rPr>
          <w:i/>
        </w:rPr>
      </w:pPr>
      <w:r w:rsidRPr="00997292">
        <w:t>Underlag och beräkningsmetod</w:t>
      </w:r>
    </w:p>
    <w:p w14:paraId="00038263" w14:textId="77777777" w:rsidR="00997292" w:rsidRDefault="00997292" w:rsidP="00997292">
      <w:r>
        <w:t>För egna fastigheter bör utsläppt mängd CO</w:t>
      </w:r>
      <w:r w:rsidRPr="0053322A">
        <w:rPr>
          <w:vertAlign w:val="subscript"/>
        </w:rPr>
        <w:t>2</w:t>
      </w:r>
      <w:r>
        <w:t>-ekvivalenter</w:t>
      </w:r>
      <w:r w:rsidR="00775F68">
        <w:t xml:space="preserve"> (CO2e)</w:t>
      </w:r>
      <w:r>
        <w:t xml:space="preserve"> hämtas från köldmedierapporter. Endast volymer som rör påfyllnad till följd av läckage ska omfattas. </w:t>
      </w:r>
      <w:r w:rsidR="00540AD2">
        <w:t xml:space="preserve">Som en förenkling kan </w:t>
      </w:r>
      <w:r w:rsidR="008E4B1F">
        <w:t>alternativt</w:t>
      </w:r>
      <w:r w:rsidR="00540AD2">
        <w:t xml:space="preserve"> årets inköpta köldmedia rapporteras. </w:t>
      </w:r>
      <w:r>
        <w:t xml:space="preserve">Om köldmedierapporterna för föregående år inte är klara då </w:t>
      </w:r>
      <w:r w:rsidR="00722C02">
        <w:t>klimatredovisningen</w:t>
      </w:r>
      <w:r>
        <w:t xml:space="preserve"> görs kan </w:t>
      </w:r>
      <w:r w:rsidR="009A57F2">
        <w:t>föregående</w:t>
      </w:r>
      <w:r w:rsidR="008E4B1F">
        <w:t xml:space="preserve"> års värden</w:t>
      </w:r>
      <w:r>
        <w:t xml:space="preserve"> användas. Detta </w:t>
      </w:r>
      <w:r w:rsidR="008E4B1F">
        <w:t xml:space="preserve">kan även </w:t>
      </w:r>
      <w:r>
        <w:t xml:space="preserve">göras systematiskt </w:t>
      </w:r>
      <w:r w:rsidR="007A1C3F">
        <w:t xml:space="preserve">framöver </w:t>
      </w:r>
      <w:r>
        <w:t>så alla volymer redovisas</w:t>
      </w:r>
      <w:r w:rsidR="008E4B1F">
        <w:t xml:space="preserve"> med eftersläpning</w:t>
      </w:r>
      <w:r>
        <w:t>.</w:t>
      </w:r>
    </w:p>
    <w:p w14:paraId="21ADCCF5" w14:textId="77777777" w:rsidR="00775F68" w:rsidRPr="006D233C" w:rsidRDefault="008E4B1F" w:rsidP="00997292">
      <w:r>
        <w:t xml:space="preserve">Som alternativ till färdiga utsläppsdata kan </w:t>
      </w:r>
      <w:r w:rsidR="00FE564A">
        <w:t xml:space="preserve">inmatning göras </w:t>
      </w:r>
      <w:r>
        <w:t xml:space="preserve">av </w:t>
      </w:r>
      <w:r w:rsidR="00FE564A">
        <w:t>volymer av respektive köldmedia, dessa räknas om till utsläpp i verktyget</w:t>
      </w:r>
      <w:r w:rsidR="00775F68">
        <w:t xml:space="preserve">. </w:t>
      </w:r>
    </w:p>
    <w:p w14:paraId="239CA74D" w14:textId="77777777" w:rsidR="00997292" w:rsidRDefault="008729C1" w:rsidP="00997292">
      <w:r>
        <w:t xml:space="preserve">Posten redovisas </w:t>
      </w:r>
      <w:r w:rsidR="00997292">
        <w:t>i</w:t>
      </w:r>
      <w:r w:rsidR="00997292" w:rsidRPr="00960F6B">
        <w:t xml:space="preserve"> scope 1. </w:t>
      </w:r>
    </w:p>
    <w:tbl>
      <w:tblPr>
        <w:tblStyle w:val="Tabellrutnt"/>
        <w:tblW w:w="0" w:type="auto"/>
        <w:tblCellMar>
          <w:top w:w="57" w:type="dxa"/>
          <w:bottom w:w="57" w:type="dxa"/>
        </w:tblCellMar>
        <w:tblLook w:val="04A0" w:firstRow="1" w:lastRow="0" w:firstColumn="1" w:lastColumn="0" w:noHBand="0" w:noVBand="1"/>
      </w:tblPr>
      <w:tblGrid>
        <w:gridCol w:w="9062"/>
      </w:tblGrid>
      <w:tr w:rsidR="00F663F5" w14:paraId="465376B3" w14:textId="77777777" w:rsidTr="00390823">
        <w:tc>
          <w:tcPr>
            <w:tcW w:w="9062" w:type="dxa"/>
          </w:tcPr>
          <w:p w14:paraId="4BCB0389" w14:textId="77777777" w:rsidR="00F663F5" w:rsidRDefault="00F663F5" w:rsidP="009A57F2">
            <w:r w:rsidRPr="00AA0797">
              <w:rPr>
                <w:b/>
                <w:bCs/>
              </w:rPr>
              <w:t>Så läser du av en köldmedierapport</w:t>
            </w:r>
            <w:r w:rsidR="00AA0797">
              <w:rPr>
                <w:b/>
                <w:bCs/>
              </w:rPr>
              <w:br/>
            </w:r>
            <w:r w:rsidR="00FE564A">
              <w:t>Det önskade värdet</w:t>
            </w:r>
            <w:r w:rsidR="00D66CA3">
              <w:t xml:space="preserve"> summeras från </w:t>
            </w:r>
            <w:r w:rsidR="00E066FC">
              <w:t xml:space="preserve">en av rapportens </w:t>
            </w:r>
            <w:r w:rsidR="00046C69">
              <w:t>kolumne</w:t>
            </w:r>
            <w:r w:rsidR="00E066FC">
              <w:t>r</w:t>
            </w:r>
            <w:r w:rsidR="00414B45">
              <w:t xml:space="preserve"> </w:t>
            </w:r>
            <w:r w:rsidR="00046C69">
              <w:t>”</w:t>
            </w:r>
            <w:r w:rsidR="00046C69" w:rsidRPr="00AA0797">
              <w:rPr>
                <w:i/>
                <w:iCs/>
              </w:rPr>
              <w:t>Hantering</w:t>
            </w:r>
            <w:r w:rsidR="00AA0797" w:rsidRPr="00AA0797">
              <w:rPr>
                <w:i/>
                <w:iCs/>
              </w:rPr>
              <w:t xml:space="preserve"> </w:t>
            </w:r>
            <w:r w:rsidR="00046C69" w:rsidRPr="00AA0797">
              <w:rPr>
                <w:i/>
                <w:iCs/>
              </w:rPr>
              <w:t xml:space="preserve">- köldmedium totalt under året, anges i ton </w:t>
            </w:r>
            <w:r w:rsidR="005D0CB5" w:rsidRPr="00AA0797">
              <w:rPr>
                <w:i/>
                <w:iCs/>
              </w:rPr>
              <w:t>CO2e</w:t>
            </w:r>
            <w:r w:rsidR="005D0CB5">
              <w:t>”</w:t>
            </w:r>
            <w:r w:rsidR="00FE564A">
              <w:t>. Där</w:t>
            </w:r>
            <w:r w:rsidR="005D0CB5">
              <w:t xml:space="preserve"> summeras värdena för </w:t>
            </w:r>
            <w:r w:rsidR="006D2ED5">
              <w:t>”</w:t>
            </w:r>
            <w:r w:rsidR="006D2ED5" w:rsidRPr="00AA0797">
              <w:rPr>
                <w:i/>
                <w:iCs/>
              </w:rPr>
              <w:t>Påfyllt nytt</w:t>
            </w:r>
            <w:r w:rsidR="006D2ED5">
              <w:t>” och ”</w:t>
            </w:r>
            <w:r w:rsidR="006D2ED5" w:rsidRPr="00AA0797">
              <w:rPr>
                <w:i/>
                <w:iCs/>
              </w:rPr>
              <w:t>Påfyllt regenererat</w:t>
            </w:r>
            <w:r w:rsidR="006D2ED5">
              <w:t xml:space="preserve">” </w:t>
            </w:r>
            <w:r w:rsidR="00AA0797">
              <w:t>och därefter subtraheras mängden ”</w:t>
            </w:r>
            <w:r w:rsidR="00AA0797" w:rsidRPr="00AA0797">
              <w:rPr>
                <w:i/>
                <w:iCs/>
              </w:rPr>
              <w:t>Omhändertaget, återvunnet</w:t>
            </w:r>
            <w:r w:rsidR="00AA0797">
              <w:t xml:space="preserve">” </w:t>
            </w:r>
          </w:p>
        </w:tc>
      </w:tr>
    </w:tbl>
    <w:p w14:paraId="0AFD7D9C" w14:textId="77777777" w:rsidR="000A1664" w:rsidRDefault="000A1664" w:rsidP="00AA125B">
      <w:bookmarkStart w:id="30" w:name="_Toc92867329"/>
    </w:p>
    <w:p w14:paraId="39C86F36" w14:textId="77777777" w:rsidR="001A1B74" w:rsidRDefault="001A1B74" w:rsidP="00DF56D9">
      <w:pPr>
        <w:pStyle w:val="Rubrik3"/>
      </w:pPr>
      <w:bookmarkStart w:id="31" w:name="_Toc93482400"/>
      <w:bookmarkStart w:id="32" w:name="_Toc152920033"/>
      <w:r>
        <w:t>Reservkraft</w:t>
      </w:r>
      <w:bookmarkEnd w:id="30"/>
      <w:bookmarkEnd w:id="31"/>
      <w:bookmarkEnd w:id="32"/>
    </w:p>
    <w:p w14:paraId="595F4488" w14:textId="77777777" w:rsidR="001A1B74" w:rsidRDefault="001A1B74" w:rsidP="001A1B74">
      <w:r w:rsidRPr="003F1F6C">
        <w:rPr>
          <w:rStyle w:val="Rubrik4Char"/>
        </w:rPr>
        <w:t>Omfattning/avgränsningar</w:t>
      </w:r>
      <w:r w:rsidRPr="003F1F6C">
        <w:rPr>
          <w:rStyle w:val="Rubrik4Char"/>
        </w:rPr>
        <w:br/>
      </w:r>
      <w:r>
        <w:t>Denna post inkluderar reservkraft för el.</w:t>
      </w:r>
      <w:r w:rsidR="009A57F2">
        <w:t xml:space="preserve"> </w:t>
      </w:r>
      <w:r w:rsidR="00745C87">
        <w:t xml:space="preserve">Reservkraft förekommer främst på sjukhus. Om det är </w:t>
      </w:r>
      <w:r>
        <w:t xml:space="preserve">svårt att få information om </w:t>
      </w:r>
      <w:r w:rsidR="009A57F2">
        <w:t xml:space="preserve">eventuell </w:t>
      </w:r>
      <w:r>
        <w:t xml:space="preserve">reservkraft för inhyrda lokaler </w:t>
      </w:r>
      <w:r w:rsidR="00745C87">
        <w:t>kan uppgiften begränsas till ev</w:t>
      </w:r>
      <w:r w:rsidR="009A57F2">
        <w:t>entuella</w:t>
      </w:r>
      <w:r w:rsidR="00745C87">
        <w:t xml:space="preserve"> inhyrda sjukhuslokaler.</w:t>
      </w:r>
      <w:r>
        <w:t xml:space="preserve"> </w:t>
      </w:r>
    </w:p>
    <w:p w14:paraId="36D4EE0C" w14:textId="77777777" w:rsidR="001A1B74" w:rsidRPr="00E14E8E" w:rsidRDefault="001A1B74" w:rsidP="001A1B74">
      <w:pPr>
        <w:rPr>
          <w:b/>
          <w:bCs/>
        </w:rPr>
      </w:pPr>
      <w:r w:rsidRPr="003F1F6C">
        <w:rPr>
          <w:rStyle w:val="Rubrik4Char"/>
        </w:rPr>
        <w:t>Underlag och beräkningsmetod</w:t>
      </w:r>
      <w:r>
        <w:rPr>
          <w:b/>
          <w:bCs/>
        </w:rPr>
        <w:br/>
      </w:r>
      <w:r>
        <w:t xml:space="preserve">Bränsleförbrukning under både testkörning av reservaggregat och eventuella skarpa lägen sammanställs. Denna information kan hämtas via exempelvis fakturor. </w:t>
      </w:r>
    </w:p>
    <w:p w14:paraId="21BD17A1" w14:textId="77777777" w:rsidR="001A1B74" w:rsidRPr="00997292" w:rsidRDefault="001A1B74" w:rsidP="0002546F">
      <w:r>
        <w:t xml:space="preserve">Klimatpåverkan beräknas med hjälp av emissionsfaktorer för använt bränsle. De direkta utsläppen vid förbränning av bränsle redovisas i scope 1, och övriga utsläpp från bränslets livscykel redovisas i scope 3.  </w:t>
      </w:r>
    </w:p>
    <w:p w14:paraId="6E404A16" w14:textId="77777777" w:rsidR="000A1664" w:rsidRDefault="000A1664">
      <w:pPr>
        <w:spacing w:line="259" w:lineRule="auto"/>
        <w:rPr>
          <w:rFonts w:ascii="Museo Sans Rounded 900" w:hAnsi="Museo Sans Rounded 900"/>
          <w:b/>
          <w:bCs/>
          <w:szCs w:val="18"/>
        </w:rPr>
      </w:pPr>
      <w:bookmarkStart w:id="33" w:name="_Toc92867330"/>
    </w:p>
    <w:p w14:paraId="33671C96" w14:textId="77777777" w:rsidR="00E14ED5" w:rsidRPr="00517C79" w:rsidRDefault="00E14ED5" w:rsidP="00DF56D9">
      <w:pPr>
        <w:pStyle w:val="Rubrik3"/>
      </w:pPr>
      <w:bookmarkStart w:id="34" w:name="_Toc93482401"/>
      <w:bookmarkStart w:id="35" w:name="_Toc152920034"/>
      <w:r w:rsidRPr="00517C79">
        <w:t>Vattenförbrukning</w:t>
      </w:r>
      <w:bookmarkEnd w:id="33"/>
      <w:bookmarkEnd w:id="34"/>
      <w:bookmarkEnd w:id="35"/>
    </w:p>
    <w:p w14:paraId="15C0843B" w14:textId="77777777" w:rsidR="003E1916" w:rsidRPr="003E1916" w:rsidRDefault="003E1916" w:rsidP="003E1916">
      <w:pPr>
        <w:pStyle w:val="Rubrik4"/>
        <w:rPr>
          <w:i/>
        </w:rPr>
      </w:pPr>
      <w:r w:rsidRPr="003E1916">
        <w:t>Omfattning/avgränsningar</w:t>
      </w:r>
    </w:p>
    <w:p w14:paraId="159D87D4" w14:textId="77777777" w:rsidR="003E1916" w:rsidRDefault="007A2767" w:rsidP="003E1916">
      <w:r>
        <w:t>Denna post omfattar</w:t>
      </w:r>
      <w:r w:rsidR="003E1916">
        <w:t xml:space="preserve"> vattenanvändning i egna och inhyrda lokaler. </w:t>
      </w:r>
    </w:p>
    <w:p w14:paraId="577092ED" w14:textId="77777777" w:rsidR="003E1916" w:rsidRPr="003E1916" w:rsidRDefault="003E1916" w:rsidP="003E1916">
      <w:pPr>
        <w:pStyle w:val="Rubrik4"/>
        <w:rPr>
          <w:i/>
        </w:rPr>
      </w:pPr>
      <w:r w:rsidRPr="003E1916">
        <w:t>Underlag och beräkningsmetod</w:t>
      </w:r>
    </w:p>
    <w:p w14:paraId="14C16FCF" w14:textId="77777777" w:rsidR="0002546F" w:rsidRPr="008C1B49" w:rsidRDefault="0002546F" w:rsidP="0002546F">
      <w:pPr>
        <w:rPr>
          <w:i/>
        </w:rPr>
      </w:pPr>
      <w:r>
        <w:t xml:space="preserve">I första hand används faktiskt användning. </w:t>
      </w:r>
      <w:r w:rsidR="003E1916">
        <w:t xml:space="preserve">Vattenanvändning i egna fastigheter bedöms vara förhållandevis lätta att få tillgång till. </w:t>
      </w:r>
      <w:r w:rsidR="00745C87">
        <w:t>Uppgiften ingår i Fastighetsnyckeltalen som samlas in av SKR.</w:t>
      </w:r>
      <w:r>
        <w:t xml:space="preserve"> Om det inte finns tillgängligt se rekommendation under rubrik </w:t>
      </w:r>
      <w:r>
        <w:rPr>
          <w:i/>
        </w:rPr>
        <w:t xml:space="preserve">Fastigheter </w:t>
      </w:r>
      <w:r w:rsidRPr="008C1B49">
        <w:t>ovan</w:t>
      </w:r>
      <w:r>
        <w:rPr>
          <w:i/>
        </w:rPr>
        <w:t>.</w:t>
      </w:r>
    </w:p>
    <w:p w14:paraId="5BEB0647" w14:textId="77777777" w:rsidR="00A63669" w:rsidRDefault="00755D39" w:rsidP="00A63669">
      <w:r>
        <w:t xml:space="preserve">Posten redovisas i scope 3. </w:t>
      </w:r>
    </w:p>
    <w:p w14:paraId="625CC6D4" w14:textId="77777777" w:rsidR="00706912" w:rsidRDefault="00706912" w:rsidP="00AA125B">
      <w:bookmarkStart w:id="36" w:name="_Toc92867331"/>
    </w:p>
    <w:p w14:paraId="1C44A895" w14:textId="77777777" w:rsidR="00E14ED5" w:rsidRDefault="00E14ED5" w:rsidP="00DF56D9">
      <w:pPr>
        <w:pStyle w:val="Rubrik3"/>
      </w:pPr>
      <w:bookmarkStart w:id="37" w:name="_Toc93482402"/>
      <w:bookmarkStart w:id="38" w:name="_Toc152920035"/>
      <w:r>
        <w:t>Yttre skötsel</w:t>
      </w:r>
      <w:bookmarkEnd w:id="36"/>
      <w:bookmarkEnd w:id="37"/>
      <w:bookmarkEnd w:id="38"/>
    </w:p>
    <w:p w14:paraId="11040F62" w14:textId="77777777" w:rsidR="00AC4B2E" w:rsidRDefault="00C66F71" w:rsidP="00C66F71">
      <w:r w:rsidRPr="003F1F6C">
        <w:rPr>
          <w:rStyle w:val="Rubrik4Char"/>
        </w:rPr>
        <w:t>Omfattning/avgränsningar</w:t>
      </w:r>
      <w:r>
        <w:rPr>
          <w:b/>
          <w:bCs/>
        </w:rPr>
        <w:br/>
      </w:r>
      <w:r w:rsidR="00AC4B2E">
        <w:t>Under denna post beräknas utsläpp från drivmedel och bränsle för arbetsmaskiner för yttre</w:t>
      </w:r>
      <w:r w:rsidR="00745C87">
        <w:t xml:space="preserve"> </w:t>
      </w:r>
      <w:r w:rsidR="00AC4B2E">
        <w:t xml:space="preserve">skötsel. </w:t>
      </w:r>
      <w:r w:rsidR="00E11BC3">
        <w:t xml:space="preserve">Så väl fossila bränslen och el rapporteras in. </w:t>
      </w:r>
    </w:p>
    <w:p w14:paraId="63CEDF5E" w14:textId="77777777" w:rsidR="00C66F71" w:rsidRDefault="00C66F71" w:rsidP="00C66F71">
      <w:r>
        <w:t xml:space="preserve">I de fall regionen har handlat upp en leverantör som sköter grönytor och liknande </w:t>
      </w:r>
      <w:r w:rsidR="00FF417B">
        <w:t xml:space="preserve">bör utsläppen från dessa tjänster inkluderas under denna post. Om regionen hanterar yttre skötsel själv </w:t>
      </w:r>
      <w:r w:rsidR="002A6BFA">
        <w:t xml:space="preserve">kan det vara svårt att skilja </w:t>
      </w:r>
      <w:r>
        <w:t xml:space="preserve">bränsleinköp till fordon från bränsleinköp till arbetsmaskiner. </w:t>
      </w:r>
      <w:r w:rsidR="00B7083D">
        <w:t>D</w:t>
      </w:r>
      <w:r w:rsidR="002A6BFA">
        <w:t>enna post</w:t>
      </w:r>
      <w:r>
        <w:t xml:space="preserve"> </w:t>
      </w:r>
      <w:r w:rsidR="00B7083D">
        <w:t xml:space="preserve">bör </w:t>
      </w:r>
      <w:r>
        <w:t>endast redovisas i de fall separat upphandling av tjänsten skett.</w:t>
      </w:r>
    </w:p>
    <w:p w14:paraId="125BFEE7" w14:textId="77777777" w:rsidR="00C66F71" w:rsidRDefault="00C66F71" w:rsidP="00C66F71">
      <w:r w:rsidRPr="003F1F6C">
        <w:rPr>
          <w:rStyle w:val="Rubrik4Char"/>
        </w:rPr>
        <w:t>Underlag och beräkningsmetod</w:t>
      </w:r>
      <w:r w:rsidR="002A6BFA">
        <w:rPr>
          <w:b/>
          <w:bCs/>
        </w:rPr>
        <w:br/>
      </w:r>
      <w:r>
        <w:t xml:space="preserve">Underlag eller klimatberäkning erhålls från upphandlad leverantör. Beräkningsmetod avgörs med utgångspunkt från </w:t>
      </w:r>
      <w:r w:rsidR="007C463F">
        <w:t xml:space="preserve">hur regionen utformat </w:t>
      </w:r>
      <w:r w:rsidR="00306248">
        <w:t>sin upphandling</w:t>
      </w:r>
      <w:r>
        <w:t>.</w:t>
      </w:r>
    </w:p>
    <w:p w14:paraId="6E4EB104" w14:textId="77777777" w:rsidR="00755D39" w:rsidRPr="00755D39" w:rsidRDefault="00C66F71" w:rsidP="00C66F71">
      <w:r>
        <w:t>Posten redovisas i</w:t>
      </w:r>
      <w:r w:rsidR="00ED5F71">
        <w:t xml:space="preserve"> </w:t>
      </w:r>
      <w:r>
        <w:t>scope</w:t>
      </w:r>
      <w:r w:rsidR="00365BBF">
        <w:t xml:space="preserve"> 1 och</w:t>
      </w:r>
      <w:r>
        <w:t xml:space="preserve"> 3. </w:t>
      </w:r>
    </w:p>
    <w:p w14:paraId="5BE9E322" w14:textId="77777777" w:rsidR="0094062B" w:rsidRDefault="0094062B" w:rsidP="0094062B">
      <w:pPr>
        <w:pStyle w:val="Rubrik3"/>
      </w:pPr>
      <w:bookmarkStart w:id="39" w:name="_Toc152920036"/>
      <w:bookmarkStart w:id="40" w:name="_Toc92867332"/>
      <w:r>
        <w:t>Ny- och ombyggnation samt reparation</w:t>
      </w:r>
      <w:bookmarkEnd w:id="39"/>
    </w:p>
    <w:p w14:paraId="36BB72C8" w14:textId="77777777" w:rsidR="0094062B" w:rsidRDefault="0094062B" w:rsidP="0094062B">
      <w:r w:rsidRPr="003F1F6C">
        <w:rPr>
          <w:rStyle w:val="Rubrik4Char"/>
        </w:rPr>
        <w:t>Omfattning/avgränsningar</w:t>
      </w:r>
      <w:r>
        <w:t xml:space="preserve"> </w:t>
      </w:r>
      <w:r>
        <w:br/>
        <w:t xml:space="preserve">Nybyggnation och ombyggnation eller renoveringar av befintliga lokaler ingår i denna post. </w:t>
      </w:r>
      <w:r w:rsidR="001066B9">
        <w:t xml:space="preserve">Posten redovisas i scope 3. </w:t>
      </w:r>
      <w:r>
        <w:t>Exempel på respektive kategori:</w:t>
      </w:r>
    </w:p>
    <w:p w14:paraId="502F3DEB" w14:textId="77777777" w:rsidR="0094062B" w:rsidRDefault="0094062B" w:rsidP="0094062B">
      <w:pPr>
        <w:pStyle w:val="Liststycke"/>
        <w:numPr>
          <w:ilvl w:val="0"/>
          <w:numId w:val="24"/>
        </w:numPr>
      </w:pPr>
      <w:r w:rsidRPr="009D7BAD">
        <w:rPr>
          <w:i/>
          <w:iCs/>
        </w:rPr>
        <w:t>Nybyggnation</w:t>
      </w:r>
      <w:r>
        <w:t xml:space="preserve">: När en helt ny lokal uppförs. </w:t>
      </w:r>
    </w:p>
    <w:p w14:paraId="3F67435A" w14:textId="77777777" w:rsidR="0094062B" w:rsidRPr="009D7BAD" w:rsidRDefault="0094062B" w:rsidP="0094062B">
      <w:pPr>
        <w:pStyle w:val="Liststycke"/>
        <w:numPr>
          <w:ilvl w:val="0"/>
          <w:numId w:val="24"/>
        </w:numPr>
        <w:rPr>
          <w:i/>
          <w:iCs/>
        </w:rPr>
      </w:pPr>
      <w:r w:rsidRPr="009D7BAD">
        <w:rPr>
          <w:i/>
          <w:iCs/>
        </w:rPr>
        <w:t xml:space="preserve">Större ombyggnationer: </w:t>
      </w:r>
      <w:r>
        <w:t>när ombyggnationen görs utifrån en stomren lokal</w:t>
      </w:r>
      <w:r w:rsidRPr="009D7BAD">
        <w:rPr>
          <w:i/>
          <w:iCs/>
        </w:rPr>
        <w:t xml:space="preserve"> </w:t>
      </w:r>
    </w:p>
    <w:p w14:paraId="778FAB82" w14:textId="77777777" w:rsidR="0094062B" w:rsidRDefault="0094062B" w:rsidP="0094062B">
      <w:pPr>
        <w:pStyle w:val="Liststycke"/>
        <w:numPr>
          <w:ilvl w:val="0"/>
          <w:numId w:val="24"/>
        </w:numPr>
      </w:pPr>
      <w:r>
        <w:rPr>
          <w:i/>
          <w:iCs/>
        </w:rPr>
        <w:t>Mindre ombyggnation/reparation/underhåll</w:t>
      </w:r>
      <w:r>
        <w:t>: exempelvis ommålning, golvbyte, utbyte av ventilationssystem. Planerat underhåll samt a</w:t>
      </w:r>
      <w:r w:rsidRPr="00A23CDC">
        <w:t xml:space="preserve">vhjälpande underhåll </w:t>
      </w:r>
      <w:r>
        <w:t>med syfte att</w:t>
      </w:r>
      <w:r w:rsidRPr="00A23CDC">
        <w:t xml:space="preserve"> återställa en funktion som oförutsett nått en oacceptabel niv</w:t>
      </w:r>
      <w:r>
        <w:t>å</w:t>
      </w:r>
      <w:r w:rsidRPr="00A23CDC">
        <w:t>.</w:t>
      </w:r>
    </w:p>
    <w:p w14:paraId="5DB395EF" w14:textId="77777777" w:rsidR="0094062B" w:rsidRDefault="0094062B" w:rsidP="0094062B">
      <w:r>
        <w:t xml:space="preserve">Arbetet med att beräkna klimatpåverkan från nybyggnationer och renoveringar kan vara svårt, men resultatet av beräkningarna står ofta för en betydande del av det totala utsläppet av växthusgaser. Området är under utveckling och denna post är därför en mer avancerad nivå för regioners klimatredovisning. Det finns dock schabloner tillgängliga i verktyget, baserade på ytor och kostnader. Oavsett metodik för beräkning och redovisning av utsläpp i denna kategori, bör det anges hur stor andel av data som baseras på uppmätta/beräknade värden och hur stor andel som baseras på schablonbaserade beräkningar. </w:t>
      </w:r>
    </w:p>
    <w:p w14:paraId="4D8BC777" w14:textId="77777777" w:rsidR="0094062B" w:rsidRDefault="0094062B" w:rsidP="0094062B">
      <w:r w:rsidRPr="003F1F6C">
        <w:rPr>
          <w:rStyle w:val="Rubrik4Char"/>
        </w:rPr>
        <w:t>Underlag och beräkningsmetod</w:t>
      </w:r>
      <w:r>
        <w:t xml:space="preserve"> </w:t>
      </w:r>
      <w:r>
        <w:br/>
        <w:t xml:space="preserve">Underlag för beräkning av byggprojekt kan variera utefter vad vilken data som finns tillgängligt. Därför finns det i dagsläget stora skillnader i hur branschen beräknar och redovisar klimatpåverkan för projekt. </w:t>
      </w:r>
    </w:p>
    <w:p w14:paraId="067011AD" w14:textId="77777777" w:rsidR="0094062B" w:rsidRDefault="0094062B" w:rsidP="0094062B">
      <w:r>
        <w:t xml:space="preserve">Nedan ges ett förslag på arbetsmetodik för beräkning, vilken utgår från Fastighetsägarnas </w:t>
      </w:r>
      <w:hyperlink r:id="rId24" w:anchor=":~:text=Fastighetsbranschen%20har%20under%20flera%20%C3%A5r,House%20Gas%20(GHG)%2Dprotokollet." w:history="1">
        <w:r w:rsidRPr="00654101">
          <w:rPr>
            <w:rStyle w:val="Hyperlnk"/>
          </w:rPr>
          <w:t>Vägledning för rapportering av utsläpp i scope 3</w:t>
        </w:r>
      </w:hyperlink>
      <w:r>
        <w:t xml:space="preserve"> och IVL:s </w:t>
      </w:r>
      <w:hyperlink r:id="rId25" w:history="1">
        <w:r w:rsidRPr="00C612EA">
          <w:rPr>
            <w:rStyle w:val="Hyperlnk"/>
          </w:rPr>
          <w:t>Väg</w:t>
        </w:r>
        <w:r>
          <w:rPr>
            <w:rStyle w:val="Hyperlnk"/>
          </w:rPr>
          <w:t>l</w:t>
        </w:r>
        <w:r w:rsidRPr="00C612EA">
          <w:rPr>
            <w:rStyle w:val="Hyperlnk"/>
          </w:rPr>
          <w:t>edning kring Scope 3 för bostadsföretag</w:t>
        </w:r>
      </w:hyperlink>
      <w:r>
        <w:t xml:space="preserve">. Förslagen anges i fallande ordning där det första anses </w:t>
      </w:r>
      <w:r w:rsidR="0053243C">
        <w:t>vara mest</w:t>
      </w:r>
      <w:r>
        <w:t xml:space="preserve"> korrekt och det sista </w:t>
      </w:r>
      <w:r w:rsidR="0053243C">
        <w:t xml:space="preserve">minst </w:t>
      </w:r>
      <w:r>
        <w:t>korrekt.</w:t>
      </w:r>
    </w:p>
    <w:p w14:paraId="1462CD7A" w14:textId="77777777" w:rsidR="0094062B" w:rsidRDefault="0094062B" w:rsidP="0094062B">
      <w:r>
        <w:t>Nybyggnation:</w:t>
      </w:r>
    </w:p>
    <w:p w14:paraId="2D717A91" w14:textId="77777777" w:rsidR="0094062B" w:rsidRDefault="0094062B" w:rsidP="0094062B">
      <w:pPr>
        <w:pStyle w:val="Liststycke"/>
        <w:numPr>
          <w:ilvl w:val="0"/>
          <w:numId w:val="24"/>
        </w:numPr>
      </w:pPr>
      <w:r>
        <w:t xml:space="preserve">Faktisk beräkning: Genomför projektspecifika beräkningar, både för de byggdelar som omfattas av klimatdeklaration 2022 och 2027 samt utsläpp utöver den omfattning som anges i klimatdeklarationslagen 2027. Vilka byggdelar som inkluderas i klimatdeklarationen kan ses i Tabell 6 i IVL:s </w:t>
      </w:r>
      <w:hyperlink r:id="rId26" w:history="1">
        <w:r w:rsidRPr="00C612EA">
          <w:rPr>
            <w:rStyle w:val="Hyperlnk"/>
          </w:rPr>
          <w:t>Väg</w:t>
        </w:r>
        <w:r>
          <w:rPr>
            <w:rStyle w:val="Hyperlnk"/>
          </w:rPr>
          <w:t>l</w:t>
        </w:r>
        <w:r w:rsidRPr="00C612EA">
          <w:rPr>
            <w:rStyle w:val="Hyperlnk"/>
          </w:rPr>
          <w:t>edning kring Scope 3 för bostadsföretag</w:t>
        </w:r>
      </w:hyperlink>
      <w:r>
        <w:t xml:space="preserve">. </w:t>
      </w:r>
    </w:p>
    <w:p w14:paraId="7577DDD2" w14:textId="77777777" w:rsidR="0094062B" w:rsidRDefault="0094062B" w:rsidP="0094062B">
      <w:pPr>
        <w:pStyle w:val="Liststycke"/>
      </w:pPr>
    </w:p>
    <w:p w14:paraId="1285B6A1" w14:textId="77777777" w:rsidR="0094062B" w:rsidRDefault="0094062B" w:rsidP="0094062B">
      <w:pPr>
        <w:pStyle w:val="Liststycke"/>
        <w:numPr>
          <w:ilvl w:val="0"/>
          <w:numId w:val="24"/>
        </w:numPr>
      </w:pPr>
      <w:r>
        <w:t xml:space="preserve">Hybridberäkning: Genomför projektspecifika beräkningar för byggdelar enligt klimatdeklaration 2022 (och helst 2027). För delar som inte omfattas, använd schablon. Exempel på lämpliga schabloner för detta återfinns i </w:t>
      </w:r>
      <w:hyperlink r:id="rId27" w:history="1">
        <w:r w:rsidRPr="00222B0B">
          <w:rPr>
            <w:rStyle w:val="Hyperlnk"/>
          </w:rPr>
          <w:t>Anvisningar för LCA-beräkning av byggprojekt: 10 Schabloner för vissa byggdelar</w:t>
        </w:r>
      </w:hyperlink>
      <w:r>
        <w:t xml:space="preserve"> från IVL. Vid val av schablon bör r</w:t>
      </w:r>
      <w:r w:rsidRPr="00505991">
        <w:t>egionen välja den typ av byggnad som ligger närmast projektet</w:t>
      </w:r>
    </w:p>
    <w:p w14:paraId="2EBC0359" w14:textId="77777777" w:rsidR="0094062B" w:rsidRDefault="0094062B" w:rsidP="0094062B">
      <w:pPr>
        <w:pStyle w:val="Liststycke"/>
      </w:pPr>
    </w:p>
    <w:p w14:paraId="7DD94465" w14:textId="77777777" w:rsidR="0094062B" w:rsidRDefault="0094062B" w:rsidP="0094062B">
      <w:pPr>
        <w:pStyle w:val="Liststycke"/>
        <w:numPr>
          <w:ilvl w:val="0"/>
          <w:numId w:val="24"/>
        </w:numPr>
      </w:pPr>
      <w:r>
        <w:t xml:space="preserve">Schablonbaserad beräkning: Genomför schablonbaserade beräkningar för alla byggdelar. Exempel på lämpliga schabloner för detta återfinns i </w:t>
      </w:r>
      <w:hyperlink r:id="rId28" w:history="1">
        <w:r w:rsidRPr="00222B0B">
          <w:rPr>
            <w:rStyle w:val="Hyperlnk"/>
          </w:rPr>
          <w:t>Anvisningar för LCA-beräkning av byggprojekt: 10 Schabloner för vissa byggdelar</w:t>
        </w:r>
      </w:hyperlink>
      <w:r>
        <w:t xml:space="preserve"> från IVL. Vid val av schablon bör r</w:t>
      </w:r>
      <w:r w:rsidRPr="00505991">
        <w:t>egionen välja den typ av byggnad som ligger närmast projektet</w:t>
      </w:r>
      <w:r>
        <w:t>.</w:t>
      </w:r>
      <w:r>
        <w:br/>
      </w:r>
    </w:p>
    <w:p w14:paraId="1321D972" w14:textId="77777777" w:rsidR="0094062B" w:rsidRDefault="0094062B" w:rsidP="0094062B">
      <w:pPr>
        <w:pStyle w:val="Liststycke"/>
        <w:numPr>
          <w:ilvl w:val="0"/>
          <w:numId w:val="24"/>
        </w:numPr>
      </w:pPr>
      <w:r>
        <w:t>Spendbaserad beräkning: Genomför en beräkning av nybyggnationsprojekt utifrån spenderad/investerad krona i projektet.</w:t>
      </w:r>
      <w:r>
        <w:br/>
      </w:r>
    </w:p>
    <w:p w14:paraId="149F9C8B" w14:textId="77777777" w:rsidR="0094062B" w:rsidRDefault="0094062B" w:rsidP="0094062B">
      <w:r>
        <w:t xml:space="preserve">Regionen bör om möjligt kravställa data över klimatpåverkan från byggentreprenören redan vid upphandling. Data bör då täcka alla byggdelar, både de som omfattas av klimatdeklaration 2022 och 2027 samt de utsläpp som inte omfattas av klimatdeklarationen. För vägledning vid kravställning av projekt, se </w:t>
      </w:r>
      <w:hyperlink r:id="rId29" w:history="1">
        <w:r w:rsidRPr="00112D27">
          <w:rPr>
            <w:rStyle w:val="Hyperlnk"/>
          </w:rPr>
          <w:t>Klimatkrav till rimlig kostnad</w:t>
        </w:r>
      </w:hyperlink>
      <w:r>
        <w:t xml:space="preserve"> från IVL </w:t>
      </w:r>
    </w:p>
    <w:p w14:paraId="4A4547D4" w14:textId="77777777" w:rsidR="0094062B" w:rsidRDefault="0094062B" w:rsidP="0094062B">
      <w:r>
        <w:t>Om möjligt bör utsläppen för byggprojekt som löper över flera år redovisas löpande, förslagsvis efter hur budgeten fördelas över åren. I de fall då tillräcklig information inte kan erhållas löpande från leverantörer kan en samlad beräkning genomföras året för färdigställande av projektet. Regionen bör redovisa utsläppen på samma sätt över åren.</w:t>
      </w:r>
    </w:p>
    <w:p w14:paraId="5EE166DB" w14:textId="77777777" w:rsidR="0094062B" w:rsidRDefault="0094062B" w:rsidP="0094062B">
      <w:r>
        <w:t>Ombyggnation/Reparation:</w:t>
      </w:r>
    </w:p>
    <w:p w14:paraId="0833CD68" w14:textId="77777777" w:rsidR="0094062B" w:rsidRDefault="0094062B" w:rsidP="0094062B">
      <w:pPr>
        <w:pStyle w:val="Liststycke"/>
        <w:numPr>
          <w:ilvl w:val="0"/>
          <w:numId w:val="24"/>
        </w:numPr>
        <w:spacing w:after="120"/>
      </w:pPr>
      <w:r>
        <w:t xml:space="preserve">Faktiskt beräkning: Regionen bör sträva efter att, på sikt, räkna på alla ombyggnationsprojekt på samma sätt som för den faktiska beräkningen för nybyggnation. Dessa beräkningar görs helst med underlag i form av produktspecifika EPD:er, eller via mer generella schabloner från t.ex. </w:t>
      </w:r>
      <w:hyperlink r:id="rId30" w:history="1">
        <w:r w:rsidRPr="00C05E03">
          <w:rPr>
            <w:rStyle w:val="Hyperlnk"/>
          </w:rPr>
          <w:t>Boverkets kli</w:t>
        </w:r>
        <w:r>
          <w:rPr>
            <w:rStyle w:val="Hyperlnk"/>
          </w:rPr>
          <w:t>matdatabas</w:t>
        </w:r>
      </w:hyperlink>
      <w:r>
        <w:rPr>
          <w:rStyle w:val="Hyperlnk"/>
        </w:rPr>
        <w:t xml:space="preserve"> </w:t>
      </w:r>
      <w:r>
        <w:t xml:space="preserve">eller via </w:t>
      </w:r>
      <w:hyperlink r:id="rId31" w:history="1">
        <w:r w:rsidRPr="00C05E03">
          <w:rPr>
            <w:rStyle w:val="Hyperlnk"/>
          </w:rPr>
          <w:t>Byggsektorns miljöberäkni</w:t>
        </w:r>
        <w:r>
          <w:rPr>
            <w:rStyle w:val="Hyperlnk"/>
          </w:rPr>
          <w:t>ng</w:t>
        </w:r>
        <w:r w:rsidRPr="00C05E03">
          <w:rPr>
            <w:rStyle w:val="Hyperlnk"/>
          </w:rPr>
          <w:t>sverktyg</w:t>
        </w:r>
      </w:hyperlink>
      <w:r>
        <w:t xml:space="preserve">. </w:t>
      </w:r>
      <w:r w:rsidRPr="00237C04">
        <w:t>Grundinställningen är att samtliga utsläpp från renovering ska inkluderas</w:t>
      </w:r>
      <w:r>
        <w:t>, dock kan det vara svårt att få med alla delar i ett renoveringsprojekt.</w:t>
      </w:r>
      <w:r w:rsidRPr="00A908ED">
        <w:t xml:space="preserve"> </w:t>
      </w:r>
      <w:r>
        <w:t xml:space="preserve">I detta arbete är det viktigt att undersöka täckningsgraden för beräkningarna, alltså hur stor andel av utsläppen som inkluderats. Täckningsgraden kan skalas upp för att täcka alla delar av projektet. </w:t>
      </w:r>
      <w:r>
        <w:br/>
      </w:r>
    </w:p>
    <w:p w14:paraId="465BCD32" w14:textId="77777777" w:rsidR="0094062B" w:rsidRDefault="0094062B" w:rsidP="0094062B">
      <w:pPr>
        <w:pStyle w:val="Liststycke"/>
        <w:numPr>
          <w:ilvl w:val="0"/>
          <w:numId w:val="24"/>
        </w:numPr>
        <w:spacing w:after="120"/>
      </w:pPr>
      <w:r>
        <w:t xml:space="preserve">Schablon baserat på typprojekt: Att klimatberäkna alla ombyggnationsprojekt kan vara svårt, därför kan regionen klimatberäkna ett antal projekt som anses vara representativa. Dessa kan sedan användas för att göra specifika schabloner per spenderad krona eller per ombyggd yta. Dessa kan sedan skalas upp för att täcka regionens resterande ombyggnations- och reparationsprojekt. </w:t>
      </w:r>
    </w:p>
    <w:p w14:paraId="4ADBDCC4" w14:textId="77777777" w:rsidR="0094062B" w:rsidRDefault="0094062B" w:rsidP="0094062B">
      <w:pPr>
        <w:pStyle w:val="Liststycke"/>
        <w:spacing w:after="120"/>
      </w:pPr>
    </w:p>
    <w:p w14:paraId="6FB130BA" w14:textId="77777777" w:rsidR="00CD6476" w:rsidRDefault="0094062B" w:rsidP="00CD6476">
      <w:pPr>
        <w:pStyle w:val="Liststycke"/>
        <w:numPr>
          <w:ilvl w:val="0"/>
          <w:numId w:val="24"/>
        </w:numPr>
        <w:spacing w:after="120"/>
      </w:pPr>
      <w:r>
        <w:t>Generiska schabloner: Redovisa utsläpp från ombyggnationer med hjälp av generiska schabloner. För renoveringsprojekt kan det vara svårare att hitta ett generiskt gräns</w:t>
      </w:r>
      <w:r w:rsidRPr="00237C04">
        <w:t xml:space="preserve">värde, </w:t>
      </w:r>
      <w:r>
        <w:t>dels då projekten kan skilja sig väldigt mycket i sin omfattning, dels att</w:t>
      </w:r>
      <w:r w:rsidRPr="00237C04">
        <w:t xml:space="preserve"> riktlinje</w:t>
      </w:r>
      <w:r>
        <w:t>r</w:t>
      </w:r>
      <w:r w:rsidRPr="00237C04">
        <w:t xml:space="preserve"> kring vad som ska inkluderas</w:t>
      </w:r>
      <w:r>
        <w:t xml:space="preserve"> i projekten, likt nybyggnationsprojekt, inte finns</w:t>
      </w:r>
      <w:r w:rsidRPr="00237C04">
        <w:t xml:space="preserve">. </w:t>
      </w:r>
      <w:r w:rsidR="00CD6476">
        <w:br/>
      </w:r>
      <w:r w:rsidR="00CD6476">
        <w:br/>
        <w:t xml:space="preserve">I verktyget ligger ett antal </w:t>
      </w:r>
      <w:r w:rsidR="008E04C2">
        <w:t xml:space="preserve">generiska schabloner för ombyggnation, </w:t>
      </w:r>
    </w:p>
    <w:p w14:paraId="7BA7547D" w14:textId="77777777" w:rsidR="0094062B" w:rsidRDefault="0094062B" w:rsidP="0094062B"/>
    <w:tbl>
      <w:tblPr>
        <w:tblStyle w:val="Tabellrutnt"/>
        <w:tblW w:w="0" w:type="auto"/>
        <w:tblCellMar>
          <w:top w:w="57" w:type="dxa"/>
          <w:bottom w:w="57" w:type="dxa"/>
        </w:tblCellMar>
        <w:tblLook w:val="04A0" w:firstRow="1" w:lastRow="0" w:firstColumn="1" w:lastColumn="0" w:noHBand="0" w:noVBand="1"/>
      </w:tblPr>
      <w:tblGrid>
        <w:gridCol w:w="9062"/>
      </w:tblGrid>
      <w:tr w:rsidR="0094062B" w14:paraId="30BB55F3" w14:textId="77777777" w:rsidTr="00DE64F9">
        <w:tc>
          <w:tcPr>
            <w:tcW w:w="9062" w:type="dxa"/>
          </w:tcPr>
          <w:p w14:paraId="5D61489A" w14:textId="77777777" w:rsidR="0094062B" w:rsidRPr="00624638" w:rsidRDefault="0094062B" w:rsidP="00DE64F9">
            <w:pPr>
              <w:rPr>
                <w:b/>
              </w:rPr>
            </w:pPr>
            <w:r w:rsidRPr="00624638">
              <w:rPr>
                <w:b/>
                <w:bCs/>
              </w:rPr>
              <w:t>Att ta fram mer detaljerat underlag</w:t>
            </w:r>
          </w:p>
          <w:p w14:paraId="782B2C42" w14:textId="77777777" w:rsidR="0094062B" w:rsidRPr="00624638" w:rsidRDefault="0094062B" w:rsidP="00DE64F9"/>
          <w:p w14:paraId="2B4DEAE5" w14:textId="77777777" w:rsidR="0094062B" w:rsidRPr="00624638" w:rsidRDefault="0094062B" w:rsidP="00DE64F9">
            <w:pPr>
              <w:spacing w:after="120"/>
            </w:pPr>
            <w:r w:rsidRPr="00624638">
              <w:t>För de regioner som vill beräkna klimatpåverkan från byggprocesser på en mer avancerad nivå finns det flera typer av digitala verktyg som ger stöd för att ta fram beräkningar av byggprocesser och materials klimatpåverkan. Dessa verktyg är ofta licenserade, medan Boverkets klimatdatabas är öppen.</w:t>
            </w:r>
            <w:r>
              <w:t xml:space="preserve"> Det finns även ett antal företag som kan bistå med dessa tjänster.</w:t>
            </w:r>
          </w:p>
          <w:p w14:paraId="67392409" w14:textId="77777777" w:rsidR="0094062B" w:rsidRPr="00624638" w:rsidRDefault="00787962" w:rsidP="00DE64F9">
            <w:pPr>
              <w:spacing w:after="120"/>
            </w:pPr>
            <w:hyperlink r:id="rId32" w:history="1">
              <w:r w:rsidR="0094062B" w:rsidRPr="00624638">
                <w:rPr>
                  <w:rStyle w:val="Hyperlnk"/>
                </w:rPr>
                <w:t>Boverkets klimatdatabas</w:t>
              </w:r>
            </w:hyperlink>
          </w:p>
          <w:p w14:paraId="16286D1A" w14:textId="77777777" w:rsidR="0094062B" w:rsidRPr="00624638" w:rsidRDefault="00787962" w:rsidP="00DE64F9">
            <w:pPr>
              <w:spacing w:after="120"/>
            </w:pPr>
            <w:hyperlink r:id="rId33" w:history="1">
              <w:r w:rsidR="0094062B" w:rsidRPr="00624638">
                <w:rPr>
                  <w:rStyle w:val="Hyperlnk"/>
                </w:rPr>
                <w:t>Byggsektorns miljöberäkningsverktyg</w:t>
              </w:r>
            </w:hyperlink>
            <w:r w:rsidR="0094062B" w:rsidRPr="00624638">
              <w:t xml:space="preserve"> </w:t>
            </w:r>
          </w:p>
          <w:p w14:paraId="27EE2D47" w14:textId="77777777" w:rsidR="0094062B" w:rsidRPr="00624638" w:rsidRDefault="00787962" w:rsidP="00DE64F9">
            <w:pPr>
              <w:spacing w:after="120"/>
              <w:rPr>
                <w:b/>
              </w:rPr>
            </w:pPr>
            <w:hyperlink r:id="rId34" w:history="1">
              <w:r w:rsidR="0094062B" w:rsidRPr="00624638">
                <w:rPr>
                  <w:rStyle w:val="Hyperlnk"/>
                </w:rPr>
                <w:t>Rapport från IVL om olika typer av schabloner</w:t>
              </w:r>
            </w:hyperlink>
          </w:p>
          <w:p w14:paraId="774BC46C" w14:textId="77777777" w:rsidR="0094062B" w:rsidRDefault="0094062B" w:rsidP="00DE64F9"/>
        </w:tc>
      </w:tr>
    </w:tbl>
    <w:p w14:paraId="1DDD28B7" w14:textId="77777777" w:rsidR="00706912" w:rsidRDefault="00706912" w:rsidP="00AA125B"/>
    <w:bookmarkEnd w:id="40"/>
    <w:p w14:paraId="486FBB5D" w14:textId="77777777" w:rsidR="00C53FA5" w:rsidRDefault="00C53FA5">
      <w:pPr>
        <w:spacing w:line="259" w:lineRule="auto"/>
        <w:rPr>
          <w:sz w:val="28"/>
          <w:szCs w:val="28"/>
        </w:rPr>
      </w:pPr>
      <w:r>
        <w:br w:type="page"/>
      </w:r>
    </w:p>
    <w:p w14:paraId="4E876EEB" w14:textId="3891B198" w:rsidR="000B7FB6" w:rsidRPr="000B7FB6" w:rsidRDefault="00E14ED5" w:rsidP="000B7FB6">
      <w:pPr>
        <w:pStyle w:val="Rubrik2"/>
        <w:numPr>
          <w:ilvl w:val="0"/>
          <w:numId w:val="27"/>
        </w:numPr>
      </w:pPr>
      <w:bookmarkStart w:id="41" w:name="_Toc152920037"/>
      <w:r w:rsidRPr="002B7BAC">
        <w:t>Resor och transporter</w:t>
      </w:r>
      <w:bookmarkEnd w:id="41"/>
    </w:p>
    <w:p w14:paraId="3CB70FE7" w14:textId="77777777" w:rsidR="00E14ED5" w:rsidRDefault="00E14ED5" w:rsidP="00DF56D9">
      <w:pPr>
        <w:pStyle w:val="Rubrik3"/>
      </w:pPr>
      <w:bookmarkStart w:id="42" w:name="_Toc92867334"/>
      <w:bookmarkStart w:id="43" w:name="_Toc93482405"/>
      <w:bookmarkStart w:id="44" w:name="_Toc152920038"/>
      <w:r>
        <w:t>Allmän kollektivtrafik</w:t>
      </w:r>
      <w:bookmarkEnd w:id="42"/>
      <w:bookmarkEnd w:id="43"/>
      <w:bookmarkEnd w:id="44"/>
    </w:p>
    <w:p w14:paraId="55E9F0C0" w14:textId="77777777" w:rsidR="006F6342" w:rsidRPr="006F6342" w:rsidRDefault="006F6342" w:rsidP="006F6342">
      <w:pPr>
        <w:pStyle w:val="Rubrik4"/>
        <w:rPr>
          <w:i/>
        </w:rPr>
      </w:pPr>
      <w:r w:rsidRPr="006F6342">
        <w:t>Omfattning/avgränsningar</w:t>
      </w:r>
    </w:p>
    <w:p w14:paraId="0AC5DBCE" w14:textId="77777777" w:rsidR="006F6342" w:rsidRDefault="006F6342" w:rsidP="006F6342">
      <w:r>
        <w:t xml:space="preserve">I </w:t>
      </w:r>
      <w:r w:rsidR="00D1561B">
        <w:t>denna post</w:t>
      </w:r>
      <w:r>
        <w:t xml:space="preserve"> redovisas utsläpp från </w:t>
      </w:r>
      <w:r w:rsidRPr="00B6445F">
        <w:t>fordon</w:t>
      </w:r>
      <w:r>
        <w:t xml:space="preserve"> i den allmänna kollektivtrafiken</w:t>
      </w:r>
      <w:r w:rsidR="00812731">
        <w:t xml:space="preserve">. </w:t>
      </w:r>
      <w:r>
        <w:t xml:space="preserve">Utsläpp från </w:t>
      </w:r>
      <w:r w:rsidRPr="00B6445F">
        <w:t>infrastruktur</w:t>
      </w:r>
      <w:r>
        <w:t>,</w:t>
      </w:r>
      <w:r w:rsidRPr="00B6445F">
        <w:t xml:space="preserve"> </w:t>
      </w:r>
      <w:r>
        <w:t xml:space="preserve">övriga </w:t>
      </w:r>
      <w:r w:rsidRPr="00B6445F">
        <w:t>kringtjänster</w:t>
      </w:r>
      <w:r>
        <w:t xml:space="preserve"> </w:t>
      </w:r>
      <w:r w:rsidR="00D1561B">
        <w:t xml:space="preserve">med mera </w:t>
      </w:r>
      <w:r>
        <w:t>exkluderas med hänsyn till svårigheten att få fram underlag.</w:t>
      </w:r>
    </w:p>
    <w:p w14:paraId="638E3072" w14:textId="77777777" w:rsidR="006F6342" w:rsidRPr="00BB7C6C" w:rsidRDefault="006F6342" w:rsidP="006F6342">
      <w:r>
        <w:t>I de fall trafik bedrivs i flera regioner</w:t>
      </w:r>
      <w:r w:rsidR="00D1561B">
        <w:t>, exempelvis</w:t>
      </w:r>
      <w:r>
        <w:t xml:space="preserve"> tågtrafik</w:t>
      </w:r>
      <w:r w:rsidR="00D1561B">
        <w:t>,</w:t>
      </w:r>
      <w:r>
        <w:t xml:space="preserve"> fördelas utsläppen mellan regionerna. </w:t>
      </w:r>
      <w:r w:rsidR="00AE6630">
        <w:t xml:space="preserve">Regionen </w:t>
      </w:r>
      <w:r w:rsidR="00AF5FEC">
        <w:t>bör</w:t>
      </w:r>
      <w:r w:rsidR="00AE6630">
        <w:t xml:space="preserve"> </w:t>
      </w:r>
      <w:r w:rsidR="00B942DE">
        <w:t>uppskatta fördelningen baserat på</w:t>
      </w:r>
      <w:r w:rsidR="00AE6630">
        <w:t xml:space="preserve"> budgeterat antal fordonsk</w:t>
      </w:r>
      <w:r w:rsidR="00293A2B">
        <w:t>ilo</w:t>
      </w:r>
      <w:r w:rsidR="00AE6630">
        <w:t>m</w:t>
      </w:r>
      <w:r w:rsidR="00800584">
        <w:t>eter</w:t>
      </w:r>
      <w:r w:rsidR="00AE6630">
        <w:t xml:space="preserve"> per fordonstyp som körs i respektive region i kombination med genomsnittlig bränsleförbrukning per fordonstyp. </w:t>
      </w:r>
    </w:p>
    <w:p w14:paraId="60E5719C" w14:textId="77777777" w:rsidR="006F6342" w:rsidRPr="006F6342" w:rsidRDefault="006F6342" w:rsidP="006F6342">
      <w:pPr>
        <w:pStyle w:val="Rubrik4"/>
        <w:rPr>
          <w:i/>
        </w:rPr>
      </w:pPr>
      <w:r w:rsidRPr="006F6342">
        <w:t>Underlag och beräkningsmetod</w:t>
      </w:r>
    </w:p>
    <w:p w14:paraId="5D445299" w14:textId="30BCBA33" w:rsidR="006F6342" w:rsidRDefault="006F6342" w:rsidP="006F6342">
      <w:r>
        <w:t xml:space="preserve">Underlag </w:t>
      </w:r>
      <w:r w:rsidRPr="00F87BC4">
        <w:t xml:space="preserve">i form av </w:t>
      </w:r>
      <w:r w:rsidR="0075626D" w:rsidRPr="00F87BC4">
        <w:t>förbrukade</w:t>
      </w:r>
      <w:r w:rsidRPr="00F87BC4">
        <w:t xml:space="preserve"> </w:t>
      </w:r>
      <w:r w:rsidR="00E86FE0" w:rsidRPr="00F87BC4">
        <w:t>drivmedels</w:t>
      </w:r>
      <w:r w:rsidRPr="00F87BC4">
        <w:t xml:space="preserve">mängder </w:t>
      </w:r>
      <w:r w:rsidR="00B9336F" w:rsidRPr="00F87BC4">
        <w:t>bör vara</w:t>
      </w:r>
      <w:r w:rsidR="00A76D82" w:rsidRPr="00F87BC4">
        <w:t xml:space="preserve"> samma som den regionala kollektivtrafikmyndigheten rapporter</w:t>
      </w:r>
      <w:r w:rsidR="001015D5" w:rsidRPr="00F87BC4">
        <w:t>ar</w:t>
      </w:r>
      <w:r w:rsidR="00A76D82" w:rsidRPr="00F87BC4">
        <w:t xml:space="preserve"> till </w:t>
      </w:r>
      <w:r w:rsidRPr="00F87BC4">
        <w:t>Svensk Kollektivtrafik</w:t>
      </w:r>
      <w:r w:rsidR="00A76D82" w:rsidRPr="00F87BC4">
        <w:t>,</w:t>
      </w:r>
      <w:r w:rsidRPr="00F87BC4">
        <w:t xml:space="preserve"> databas</w:t>
      </w:r>
      <w:r w:rsidR="00A76D82" w:rsidRPr="00F87BC4">
        <w:t>en</w:t>
      </w:r>
      <w:r w:rsidRPr="00F87BC4">
        <w:t xml:space="preserve"> </w:t>
      </w:r>
      <w:r w:rsidR="00A42685" w:rsidRPr="00F87BC4">
        <w:rPr>
          <w:b/>
          <w:bCs/>
        </w:rPr>
        <w:t>FRIDA</w:t>
      </w:r>
      <w:r w:rsidR="00DF744F" w:rsidRPr="00F87BC4">
        <w:rPr>
          <w:rStyle w:val="Fotnotsreferens"/>
        </w:rPr>
        <w:footnoteReference w:id="3"/>
      </w:r>
      <w:r w:rsidRPr="00F87BC4">
        <w:t xml:space="preserve">. </w:t>
      </w:r>
      <w:r w:rsidR="009E5CCC" w:rsidRPr="00F87BC4">
        <w:t>Som huvudprincip gör FRIDA en uppdelning på bränslekomponenter för blandade drivmedel (t.ex. vid låg</w:t>
      </w:r>
      <w:r w:rsidR="009E5CCC" w:rsidRPr="00F87BC4">
        <w:softHyphen/>
        <w:t xml:space="preserve">inblandning).  </w:t>
      </w:r>
      <w:r>
        <w:t xml:space="preserve">I de fall registrering inte sker i </w:t>
      </w:r>
      <w:r w:rsidR="00A42685">
        <w:t xml:space="preserve">FRIDA </w:t>
      </w:r>
      <w:r>
        <w:t>hämtas underlag</w:t>
      </w:r>
      <w:r w:rsidR="0063463D">
        <w:t>et</w:t>
      </w:r>
      <w:r>
        <w:t xml:space="preserve"> från motsvarande källa. </w:t>
      </w:r>
    </w:p>
    <w:p w14:paraId="23AEA18D" w14:textId="77777777" w:rsidR="006F6342" w:rsidRDefault="006F6342" w:rsidP="006F6342">
      <w:r>
        <w:t xml:space="preserve">Beräkning av klimatpåverkan kan </w:t>
      </w:r>
      <w:r w:rsidR="0063463D">
        <w:t xml:space="preserve">även </w:t>
      </w:r>
      <w:r>
        <w:t xml:space="preserve">göras i </w:t>
      </w:r>
      <w:r w:rsidR="000E5349">
        <w:t>FRIDA</w:t>
      </w:r>
      <w:r>
        <w:t xml:space="preserve">. </w:t>
      </w:r>
      <w:r w:rsidR="009E6E45">
        <w:t>Men efter</w:t>
      </w:r>
      <w:r>
        <w:t xml:space="preserve">som </w:t>
      </w:r>
      <w:r w:rsidR="0063463D">
        <w:t>verktyget för klimatredovisning</w:t>
      </w:r>
      <w:r w:rsidR="00B4545A">
        <w:t xml:space="preserve"> enligt denna vägledning</w:t>
      </w:r>
      <w:r w:rsidR="0063463D">
        <w:t xml:space="preserve"> gör en </w:t>
      </w:r>
      <w:r>
        <w:t xml:space="preserve">fördelning mellan scopen </w:t>
      </w:r>
      <w:r w:rsidR="00AF5FEC">
        <w:t>bör</w:t>
      </w:r>
      <w:r w:rsidR="009E6E45">
        <w:t xml:space="preserve"> endast bränslemängder från </w:t>
      </w:r>
      <w:r w:rsidR="000E5349">
        <w:t xml:space="preserve">FRIDA </w:t>
      </w:r>
      <w:r w:rsidR="0063463D">
        <w:t>lägg</w:t>
      </w:r>
      <w:r w:rsidR="00AF5FEC">
        <w:t>a</w:t>
      </w:r>
      <w:r w:rsidR="0063463D">
        <w:t>s in i verktyget.</w:t>
      </w:r>
    </w:p>
    <w:p w14:paraId="096E783C" w14:textId="6455199E" w:rsidR="7DA8837F" w:rsidRDefault="3123FAFE" w:rsidP="7DA8837F">
      <w:r>
        <w:t xml:space="preserve">OBS! Regioner behöver vara uppmärksamma på vilken typ av bränsle </w:t>
      </w:r>
      <w:r w:rsidR="1BB7B4E1">
        <w:t>och</w:t>
      </w:r>
      <w:r>
        <w:t xml:space="preserve"> mängder som hämtas från FRIDA. Det har visat sig att det kan skilja sig åt beroende på vem som rapporterar.  </w:t>
      </w:r>
    </w:p>
    <w:p w14:paraId="7D78572A" w14:textId="77777777" w:rsidR="002B591E" w:rsidRDefault="006F6342" w:rsidP="006F6342">
      <w:r>
        <w:t xml:space="preserve">Eftersom </w:t>
      </w:r>
      <w:r w:rsidRPr="00B6445F">
        <w:t>Operational control approach</w:t>
      </w:r>
      <w:r>
        <w:t xml:space="preserve"> tillämpas</w:t>
      </w:r>
      <w:r w:rsidR="000814EB">
        <w:t xml:space="preserve">, </w:t>
      </w:r>
      <w:r>
        <w:t xml:space="preserve">se avsnitt </w:t>
      </w:r>
      <w:r w:rsidR="00B4545A">
        <w:rPr>
          <w:i/>
          <w:iCs/>
        </w:rPr>
        <w:t>Föreslagen</w:t>
      </w:r>
      <w:r w:rsidR="00A35B08" w:rsidRPr="00A35B08">
        <w:rPr>
          <w:i/>
          <w:iCs/>
        </w:rPr>
        <w:t xml:space="preserve"> metod</w:t>
      </w:r>
      <w:r w:rsidR="000814EB">
        <w:t>,</w:t>
      </w:r>
      <w:r>
        <w:t xml:space="preserve"> redovisas de direkta utsläppen i scope 1 och </w:t>
      </w:r>
      <w:r w:rsidR="00D670CB">
        <w:t xml:space="preserve">övriga utsläpp i bränslets </w:t>
      </w:r>
      <w:r>
        <w:t xml:space="preserve">livscykelvärden redovisas i scope 3. </w:t>
      </w:r>
    </w:p>
    <w:p w14:paraId="0CB4E843" w14:textId="0C8BC97C" w:rsidR="006F6342" w:rsidRPr="006F6342" w:rsidRDefault="009E5CCC" w:rsidP="006F6342">
      <w:r w:rsidRPr="00E63AE8">
        <w:rPr>
          <w:b/>
          <w:bCs/>
        </w:rPr>
        <w:t xml:space="preserve">Nordisk elmix </w:t>
      </w:r>
      <w:r w:rsidRPr="00E63AE8">
        <w:t xml:space="preserve">används för emissionsfaktorer som huvudmetod i de fall fordonen drivs av el. </w:t>
      </w:r>
      <w:r w:rsidR="006F6342" w:rsidRPr="00E63AE8">
        <w:t xml:space="preserve"> </w:t>
      </w:r>
      <w:r>
        <w:t>U</w:t>
      </w:r>
      <w:r w:rsidR="006F6342">
        <w:t>tsläppen redovisas i detta fall i scope 2</w:t>
      </w:r>
      <w:r w:rsidR="004E13D1">
        <w:t xml:space="preserve"> och 3</w:t>
      </w:r>
      <w:r w:rsidR="006F6342">
        <w:t xml:space="preserve">. </w:t>
      </w:r>
      <w:r w:rsidR="006F6342" w:rsidRPr="00307A37">
        <w:t xml:space="preserve">Observera att </w:t>
      </w:r>
      <w:r w:rsidR="006F6342">
        <w:t xml:space="preserve">beräkning av elanvändningen även </w:t>
      </w:r>
      <w:r w:rsidR="00897890">
        <w:t>kommer att beräknas genom</w:t>
      </w:r>
      <w:r w:rsidR="006F6342">
        <w:t xml:space="preserve"> marked based method, </w:t>
      </w:r>
      <w:r w:rsidR="00A76D82">
        <w:t xml:space="preserve">varför </w:t>
      </w:r>
      <w:r w:rsidR="0063463D">
        <w:t xml:space="preserve">även </w:t>
      </w:r>
      <w:r w:rsidR="00A76D82">
        <w:t>ursprungsmärkningen för el behöver redovisas</w:t>
      </w:r>
      <w:r w:rsidR="000F442C">
        <w:t>,</w:t>
      </w:r>
      <w:r w:rsidR="00A76D82">
        <w:t xml:space="preserve"> </w:t>
      </w:r>
      <w:r w:rsidR="006F6342">
        <w:t xml:space="preserve">se </w:t>
      </w:r>
      <w:r w:rsidR="006F0DA2" w:rsidRPr="00C316A4">
        <w:t xml:space="preserve">avsnittet </w:t>
      </w:r>
      <w:r w:rsidR="00B4545A">
        <w:rPr>
          <w:i/>
          <w:iCs/>
        </w:rPr>
        <w:t>Föreslagen</w:t>
      </w:r>
      <w:r w:rsidR="00A35B08" w:rsidRPr="00A35B08">
        <w:rPr>
          <w:i/>
          <w:iCs/>
        </w:rPr>
        <w:t xml:space="preserve"> metod</w:t>
      </w:r>
      <w:r w:rsidR="006F6342">
        <w:t>.</w:t>
      </w:r>
    </w:p>
    <w:p w14:paraId="133F0B83" w14:textId="77777777" w:rsidR="006F0DA2" w:rsidRDefault="006F0DA2" w:rsidP="00AA125B">
      <w:bookmarkStart w:id="45" w:name="_Toc92867335"/>
    </w:p>
    <w:p w14:paraId="74A96AC4" w14:textId="77777777" w:rsidR="00E14ED5" w:rsidRDefault="00E14ED5" w:rsidP="00DF56D9">
      <w:pPr>
        <w:pStyle w:val="Rubrik3"/>
      </w:pPr>
      <w:bookmarkStart w:id="46" w:name="_Toc93482406"/>
      <w:bookmarkStart w:id="47" w:name="_Toc152920039"/>
      <w:r>
        <w:t>Särskild kollektivtrafik och serviceresor</w:t>
      </w:r>
      <w:bookmarkEnd w:id="45"/>
      <w:bookmarkEnd w:id="46"/>
      <w:bookmarkEnd w:id="47"/>
    </w:p>
    <w:p w14:paraId="2271DAAA" w14:textId="77777777" w:rsidR="008D17B9" w:rsidRPr="008D17B9" w:rsidRDefault="008D17B9" w:rsidP="008D17B9">
      <w:pPr>
        <w:pStyle w:val="Rubrik4"/>
        <w:rPr>
          <w:i/>
        </w:rPr>
      </w:pPr>
      <w:r w:rsidRPr="008D17B9">
        <w:t>Omfattning/avgränsningar</w:t>
      </w:r>
    </w:p>
    <w:p w14:paraId="04DE702C" w14:textId="77777777" w:rsidR="008D17B9" w:rsidRDefault="008D17B9" w:rsidP="008D17B9">
      <w:r>
        <w:t>Under denna post ska</w:t>
      </w:r>
      <w:r w:rsidR="00BE11BE">
        <w:t xml:space="preserve"> </w:t>
      </w:r>
      <w:r>
        <w:t>särskild kollektivtrafik/serviceresor redovisas</w:t>
      </w:r>
      <w:r w:rsidR="0063463D">
        <w:t xml:space="preserve">, enligt samma indelning (för särskild kollektivtrafik) som i </w:t>
      </w:r>
      <w:r w:rsidR="000F442C">
        <w:t>FRIDA</w:t>
      </w:r>
      <w:r w:rsidR="0063463D">
        <w:t>.</w:t>
      </w:r>
      <w:r>
        <w:t xml:space="preserve"> Exempel på denna typ av resor är</w:t>
      </w:r>
      <w:r w:rsidR="00540AD2">
        <w:t xml:space="preserve"> skolskjutsar, servicelinjer, </w:t>
      </w:r>
      <w:r>
        <w:t xml:space="preserve">färdtjänstresor och sjukresor (sjukresa är en </w:t>
      </w:r>
      <w:r w:rsidRPr="001B7BDD">
        <w:t>resa som ger rätt till sjukreseersättning</w:t>
      </w:r>
      <w:r>
        <w:t xml:space="preserve">). </w:t>
      </w:r>
    </w:p>
    <w:p w14:paraId="6481F53D" w14:textId="77777777" w:rsidR="008D17B9" w:rsidRDefault="001015D5" w:rsidP="008D17B9">
      <w:r>
        <w:t xml:space="preserve">Med sjukresa menas </w:t>
      </w:r>
      <w:r w:rsidR="008D17B9" w:rsidRPr="002E5859">
        <w:t xml:space="preserve">en resa som sker från/till en persons bostadsadress eller plats för akut insjuknande </w:t>
      </w:r>
      <w:r w:rsidR="007E4F99">
        <w:t>från/till</w:t>
      </w:r>
      <w:r w:rsidR="007E4F99" w:rsidRPr="002E5859">
        <w:t xml:space="preserve"> </w:t>
      </w:r>
      <w:r w:rsidR="008D17B9" w:rsidRPr="002E5859">
        <w:t>besök hos en vårdgivare för vård och behandling</w:t>
      </w:r>
      <w:r w:rsidR="008D17B9">
        <w:t xml:space="preserve"> (</w:t>
      </w:r>
      <w:r w:rsidR="006125BB">
        <w:t>exklusive</w:t>
      </w:r>
      <w:r w:rsidR="008D17B9">
        <w:t xml:space="preserve"> ambulanstransporter)</w:t>
      </w:r>
      <w:r w:rsidR="008D17B9" w:rsidRPr="002E5859">
        <w:t>.</w:t>
      </w:r>
      <w:r w:rsidR="008D17B9">
        <w:t xml:space="preserve"> </w:t>
      </w:r>
      <w:r w:rsidR="008D17B9" w:rsidRPr="002E5859">
        <w:t>Kund betalar egenavgift för vissa resor.</w:t>
      </w:r>
      <w:r w:rsidR="008D17B9">
        <w:t xml:space="preserve"> Överflyttningsresor </w:t>
      </w:r>
      <w:r w:rsidR="008D17B9" w:rsidRPr="00AE0152">
        <w:t>mellan olika vårdinrättningar</w:t>
      </w:r>
      <w:r w:rsidR="008D17B9">
        <w:t xml:space="preserve"> ingår också i denna post (exkl. ambulanstransporter).</w:t>
      </w:r>
    </w:p>
    <w:p w14:paraId="68AA1A45" w14:textId="77777777" w:rsidR="008D17B9" w:rsidRDefault="008D17B9" w:rsidP="008D17B9">
      <w:r>
        <w:t>R</w:t>
      </w:r>
      <w:r w:rsidRPr="002E5859">
        <w:t xml:space="preserve">eseersättning för sjukresor med egen bil, buss eller tåg </w:t>
      </w:r>
      <w:r>
        <w:t xml:space="preserve">kan erhållas om man </w:t>
      </w:r>
      <w:r w:rsidRPr="002E5859">
        <w:t xml:space="preserve">har remitterats utanför </w:t>
      </w:r>
      <w:r w:rsidR="002114B2">
        <w:t>regionen</w:t>
      </w:r>
      <w:r w:rsidRPr="002E5859">
        <w:t xml:space="preserve"> och har en specialistvårdsremiss eller vårdgarantiremiss.</w:t>
      </w:r>
      <w:r>
        <w:t xml:space="preserve"> Dessa resor ingår inte i särskild kollektivtrafik/serviceresor utan redovisas </w:t>
      </w:r>
      <w:r w:rsidR="000F4985">
        <w:t>i stället</w:t>
      </w:r>
      <w:r>
        <w:t xml:space="preserve"> under posten betalda patientresor.</w:t>
      </w:r>
      <w:r w:rsidRPr="002E5859">
        <w:t xml:space="preserve"> </w:t>
      </w:r>
    </w:p>
    <w:p w14:paraId="60BEC598" w14:textId="77777777" w:rsidR="008D17B9" w:rsidRPr="008D17B9" w:rsidRDefault="008D17B9" w:rsidP="008D17B9">
      <w:pPr>
        <w:pStyle w:val="Rubrik4"/>
        <w:rPr>
          <w:i/>
        </w:rPr>
      </w:pPr>
      <w:r w:rsidRPr="008D17B9">
        <w:t>Underlag och beräkningsmetod</w:t>
      </w:r>
    </w:p>
    <w:p w14:paraId="11AF5414" w14:textId="77777777" w:rsidR="00C67A44" w:rsidRDefault="00C67A44" w:rsidP="00C67A44">
      <w:r>
        <w:t xml:space="preserve">Underlag i form av förbrukade drivmedelsmängder hämtas från </w:t>
      </w:r>
      <w:r w:rsidRPr="00652C41">
        <w:t xml:space="preserve">Svensk Kollektivtrafiks databas </w:t>
      </w:r>
      <w:r w:rsidR="00FB2A7C">
        <w:t>FRIDA</w:t>
      </w:r>
      <w:r>
        <w:rPr>
          <w:rStyle w:val="Fotnotsreferens"/>
        </w:rPr>
        <w:footnoteReference w:id="4"/>
      </w:r>
      <w:r>
        <w:t xml:space="preserve">. I de fall registrering inte sker i </w:t>
      </w:r>
      <w:r w:rsidR="00FB2A7C">
        <w:t xml:space="preserve">FRIDA </w:t>
      </w:r>
      <w:r>
        <w:t xml:space="preserve">hämtas underlag från annan motsvarande källa. </w:t>
      </w:r>
    </w:p>
    <w:p w14:paraId="4568B803" w14:textId="77777777" w:rsidR="00C67A44" w:rsidRPr="00C316A4" w:rsidRDefault="00C67A44" w:rsidP="00C67A44">
      <w:pPr>
        <w:rPr>
          <w:strike/>
        </w:rPr>
      </w:pPr>
      <w:r>
        <w:t xml:space="preserve">Beräkning av klimatpåverkan kan göras direkt i </w:t>
      </w:r>
      <w:r w:rsidR="008403E4">
        <w:t>FRIDA</w:t>
      </w:r>
      <w:r>
        <w:t xml:space="preserve">. Men eftersom en fördelning mellan scopen behöver göras </w:t>
      </w:r>
      <w:r w:rsidR="00F579C1">
        <w:t>bör</w:t>
      </w:r>
      <w:r w:rsidR="00C316A4">
        <w:t xml:space="preserve"> </w:t>
      </w:r>
      <w:r>
        <w:t xml:space="preserve">endast bränslemängder hämtas från </w:t>
      </w:r>
      <w:r w:rsidR="008403E4">
        <w:t>FRIDA</w:t>
      </w:r>
      <w:r>
        <w:t>, och beräknas via detta verktyg.</w:t>
      </w:r>
    </w:p>
    <w:p w14:paraId="5D6829F3" w14:textId="77777777" w:rsidR="00C67A44" w:rsidRDefault="00C67A44" w:rsidP="00C67A44">
      <w:r>
        <w:t xml:space="preserve">Eftersom </w:t>
      </w:r>
      <w:r w:rsidRPr="00B6445F">
        <w:t>Operational control approach</w:t>
      </w:r>
      <w:r>
        <w:t xml:space="preserve"> tillämpas, se </w:t>
      </w:r>
      <w:r w:rsidR="00F579C1">
        <w:rPr>
          <w:i/>
          <w:iCs/>
        </w:rPr>
        <w:t>Föreslagen</w:t>
      </w:r>
      <w:r w:rsidR="00AF7319" w:rsidRPr="00A35B08">
        <w:rPr>
          <w:i/>
          <w:iCs/>
        </w:rPr>
        <w:t xml:space="preserve"> metod</w:t>
      </w:r>
      <w:r>
        <w:t xml:space="preserve">, redovisas de direkta utsläppen i scope 1 och övriga utsläpp i bränslets livscykelvärden redovisas i scope 3. </w:t>
      </w:r>
    </w:p>
    <w:p w14:paraId="001E2779" w14:textId="77777777" w:rsidR="000A1664" w:rsidRDefault="00C67A44" w:rsidP="00116F6B">
      <w:r>
        <w:t>I de fall som fordonen drivs av el används emissionsfaktor för nordisk elmix och utsläppen redovisas i detta fall i scope 2</w:t>
      </w:r>
      <w:r w:rsidR="002114B2">
        <w:t xml:space="preserve"> samt scope 3</w:t>
      </w:r>
      <w:r>
        <w:t xml:space="preserve">. </w:t>
      </w:r>
      <w:r w:rsidRPr="00307A37">
        <w:t xml:space="preserve">Observera att </w:t>
      </w:r>
      <w:r>
        <w:t>beräkning av elanvändningen även kommer att beräknas genom marked based method, se</w:t>
      </w:r>
      <w:r w:rsidR="005E5487">
        <w:t xml:space="preserve"> </w:t>
      </w:r>
      <w:r w:rsidR="004B43A1" w:rsidRPr="00C316A4">
        <w:t xml:space="preserve">avsnittet </w:t>
      </w:r>
      <w:r w:rsidR="00F579C1">
        <w:rPr>
          <w:i/>
          <w:iCs/>
        </w:rPr>
        <w:t>Föreslagen</w:t>
      </w:r>
      <w:r w:rsidR="00A35B08" w:rsidRPr="00A35B08">
        <w:rPr>
          <w:i/>
          <w:iCs/>
        </w:rPr>
        <w:t xml:space="preserve"> metod</w:t>
      </w:r>
      <w:r w:rsidR="0063463D">
        <w:t>, varför även ursprungsmärkningen för el behöver redovisas.</w:t>
      </w:r>
      <w:bookmarkStart w:id="48" w:name="_Toc92867336"/>
    </w:p>
    <w:p w14:paraId="1FDCF86B" w14:textId="77777777" w:rsidR="00116F6B" w:rsidRDefault="00116F6B" w:rsidP="00116F6B">
      <w:pPr>
        <w:rPr>
          <w:rFonts w:ascii="Museo Sans Rounded 900" w:hAnsi="Museo Sans Rounded 900"/>
          <w:b/>
          <w:bCs/>
          <w:szCs w:val="18"/>
        </w:rPr>
      </w:pPr>
    </w:p>
    <w:p w14:paraId="7B32E1D5" w14:textId="77777777" w:rsidR="00E14ED5" w:rsidRDefault="00E14ED5" w:rsidP="00DF56D9">
      <w:pPr>
        <w:pStyle w:val="Rubrik3"/>
      </w:pPr>
      <w:bookmarkStart w:id="49" w:name="_Toc93482407"/>
      <w:bookmarkStart w:id="50" w:name="_Toc152920040"/>
      <w:r>
        <w:t>Ambulanstransporter</w:t>
      </w:r>
      <w:bookmarkEnd w:id="48"/>
      <w:bookmarkEnd w:id="49"/>
      <w:bookmarkEnd w:id="50"/>
    </w:p>
    <w:p w14:paraId="6A0EA31C" w14:textId="77777777" w:rsidR="00FE41CF" w:rsidRPr="00FE41CF" w:rsidRDefault="00FE41CF" w:rsidP="00FE41CF">
      <w:pPr>
        <w:pStyle w:val="Rubrik4"/>
        <w:rPr>
          <w:i/>
        </w:rPr>
      </w:pPr>
      <w:r w:rsidRPr="00FE41CF">
        <w:t>Omfattning/avgränsningar</w:t>
      </w:r>
    </w:p>
    <w:p w14:paraId="4E945764" w14:textId="77777777" w:rsidR="00FE41CF" w:rsidRDefault="00E908B0" w:rsidP="00FE41CF">
      <w:r>
        <w:t>I denna post inkluderas</w:t>
      </w:r>
      <w:r w:rsidR="00FE41CF">
        <w:t xml:space="preserve"> alla typer av ambulanstransporter, både i egen regi och eventuell</w:t>
      </w:r>
      <w:r>
        <w:t>a</w:t>
      </w:r>
      <w:r w:rsidR="00FE41CF">
        <w:t xml:space="preserve"> inhyrda. </w:t>
      </w:r>
      <w:r w:rsidR="00FA4D43">
        <w:t>Denna post omfattar ambulanstransporter med bil</w:t>
      </w:r>
      <w:r w:rsidR="00704720">
        <w:t xml:space="preserve">, </w:t>
      </w:r>
      <w:r w:rsidR="003A0A88">
        <w:t xml:space="preserve">båt, </w:t>
      </w:r>
      <w:r w:rsidR="00704720">
        <w:t xml:space="preserve">flyg och helikopter. </w:t>
      </w:r>
    </w:p>
    <w:p w14:paraId="2BE97896" w14:textId="77777777" w:rsidR="00FE41CF" w:rsidRPr="00FE41CF" w:rsidRDefault="00FE41CF" w:rsidP="00FE41CF">
      <w:pPr>
        <w:pStyle w:val="Rubrik4"/>
        <w:rPr>
          <w:i/>
        </w:rPr>
      </w:pPr>
      <w:r w:rsidRPr="00FE41CF">
        <w:t>Underlag och beräkningsmetod</w:t>
      </w:r>
    </w:p>
    <w:p w14:paraId="36C3E37E" w14:textId="77777777" w:rsidR="00FE41CF" w:rsidRDefault="00FE41CF" w:rsidP="00FE41CF">
      <w:r>
        <w:t>Beräkningen bör i första hand utgå från förbruka</w:t>
      </w:r>
      <w:r w:rsidR="003A0A88">
        <w:t>d volym av respektive</w:t>
      </w:r>
      <w:r>
        <w:t xml:space="preserve"> drivmede</w:t>
      </w:r>
      <w:r w:rsidR="003A0A88">
        <w:t>l</w:t>
      </w:r>
      <w:r>
        <w:t xml:space="preserve"> och det aktuella drivmedlets utsläppsfaktorer. D</w:t>
      </w:r>
      <w:r w:rsidRPr="003A1650">
        <w:t xml:space="preserve">e direkta utsläppen </w:t>
      </w:r>
      <w:r>
        <w:t xml:space="preserve">redovisas </w:t>
      </w:r>
      <w:r w:rsidRPr="003A1650">
        <w:t xml:space="preserve">i scope 1 och </w:t>
      </w:r>
      <w:r w:rsidR="003A0A88">
        <w:t>övriga utsläpp från bränslets livscykel</w:t>
      </w:r>
      <w:r w:rsidR="000A0B24">
        <w:t xml:space="preserve"> </w:t>
      </w:r>
      <w:r w:rsidRPr="003A1650">
        <w:t>redovisas i scope 3</w:t>
      </w:r>
      <w:r w:rsidRPr="004731CB">
        <w:t>.</w:t>
      </w:r>
      <w:r>
        <w:t xml:space="preserve"> </w:t>
      </w:r>
    </w:p>
    <w:p w14:paraId="13FB19D0" w14:textId="77777777" w:rsidR="00FE41CF" w:rsidRDefault="00FE41CF" w:rsidP="00FE41CF">
      <w:r>
        <w:t>Beträffande flyg</w:t>
      </w:r>
      <w:r w:rsidR="005624E5">
        <w:t xml:space="preserve">, </w:t>
      </w:r>
      <w:r>
        <w:t>helikopter</w:t>
      </w:r>
      <w:r w:rsidR="005624E5">
        <w:t xml:space="preserve"> och båt</w:t>
      </w:r>
      <w:r>
        <w:t xml:space="preserve"> kan vid behov schablonuppgift om bränsleförbrukning per timma användas tillsammans med uppgift om </w:t>
      </w:r>
      <w:r w:rsidR="00F66A2A">
        <w:t>drift/</w:t>
      </w:r>
      <w:r>
        <w:t xml:space="preserve">flygtid. </w:t>
      </w:r>
      <w:r w:rsidR="005624E5">
        <w:t xml:space="preserve">Regionen </w:t>
      </w:r>
      <w:r w:rsidR="00F579C1">
        <w:t>föreslås</w:t>
      </w:r>
      <w:r w:rsidR="005624E5">
        <w:t xml:space="preserve"> att k</w:t>
      </w:r>
      <w:r>
        <w:t xml:space="preserve">ontakta leverantörer av </w:t>
      </w:r>
      <w:r w:rsidR="00316C1B">
        <w:t>ambulansen</w:t>
      </w:r>
      <w:r>
        <w:t xml:space="preserve"> och efterfråga årlig</w:t>
      </w:r>
      <w:r w:rsidR="005624E5">
        <w:t>a</w:t>
      </w:r>
      <w:r>
        <w:t xml:space="preserve"> sammanställningar </w:t>
      </w:r>
      <w:r w:rsidR="00533B01">
        <w:t>förbrukade drivmedel</w:t>
      </w:r>
      <w:r w:rsidR="00020F29">
        <w:t xml:space="preserve"> i första han</w:t>
      </w:r>
      <w:r w:rsidR="000663C9">
        <w:t>d</w:t>
      </w:r>
      <w:r w:rsidR="00020F29">
        <w:t>, och</w:t>
      </w:r>
      <w:r>
        <w:t xml:space="preserve"> flyg</w:t>
      </w:r>
      <w:r w:rsidR="00316C1B">
        <w:t>-/drifts</w:t>
      </w:r>
      <w:r>
        <w:t xml:space="preserve">tid med respektive </w:t>
      </w:r>
      <w:r w:rsidR="005624E5">
        <w:t>färdmedel</w:t>
      </w:r>
      <w:r w:rsidR="00316C1B">
        <w:t xml:space="preserve"> samt </w:t>
      </w:r>
      <w:r>
        <w:t>bränsleförbrukning per timma för respektive flygplan/helikopter</w:t>
      </w:r>
      <w:r w:rsidR="00F66A2A">
        <w:t>/båt</w:t>
      </w:r>
      <w:r w:rsidR="00020F29">
        <w:t xml:space="preserve"> i andra hand</w:t>
      </w:r>
      <w:r>
        <w:t>.</w:t>
      </w:r>
      <w:r w:rsidR="00463725">
        <w:t xml:space="preserve"> Om information om bränsleförbrukning inte finns tillgänglig kan en generell schablon </w:t>
      </w:r>
      <w:r w:rsidR="006648E0">
        <w:t>om antal flygtimmar</w:t>
      </w:r>
      <w:r w:rsidR="00463725">
        <w:t xml:space="preserve"> </w:t>
      </w:r>
      <w:r w:rsidR="006648E0">
        <w:t>användas i verktyget</w:t>
      </w:r>
      <w:r w:rsidR="00463725">
        <w:t xml:space="preserve">. </w:t>
      </w:r>
      <w:r w:rsidR="003B2465">
        <w:t>Om endast data av annan typ, exempel</w:t>
      </w:r>
      <w:r w:rsidR="0073010A">
        <w:t>vis</w:t>
      </w:r>
      <w:r w:rsidR="003B2465">
        <w:t xml:space="preserve"> antal </w:t>
      </w:r>
      <w:r w:rsidR="00891F41">
        <w:t xml:space="preserve">flygrörelser eller </w:t>
      </w:r>
      <w:r w:rsidR="00F81BB5">
        <w:t xml:space="preserve">antal turer, finns att tillgå får en uppskattning av antal driftstimmar göras utifrån </w:t>
      </w:r>
      <w:r w:rsidR="006900C4">
        <w:t xml:space="preserve">den tillgänglig data. </w:t>
      </w:r>
      <w:r w:rsidR="00463725">
        <w:t xml:space="preserve"> </w:t>
      </w:r>
    </w:p>
    <w:p w14:paraId="231A0D84" w14:textId="77777777" w:rsidR="00FE41CF" w:rsidRDefault="00FE41CF" w:rsidP="00FE41CF">
      <w:r>
        <w:t xml:space="preserve">Om transporten köps från en annan region </w:t>
      </w:r>
      <w:r w:rsidR="00F579C1">
        <w:t>föreslås</w:t>
      </w:r>
      <w:r>
        <w:t xml:space="preserve"> att</w:t>
      </w:r>
      <w:r w:rsidR="00675D4D">
        <w:t xml:space="preserve"> regionen</w:t>
      </w:r>
      <w:r>
        <w:t xml:space="preserve"> ta kontakt med denna för att diskutera hur statistik kan erhållas och säkerställa att dubbelräkning undviks, d</w:t>
      </w:r>
      <w:r w:rsidR="00675D4D">
        <w:t xml:space="preserve">et vill säga att </w:t>
      </w:r>
      <w:r>
        <w:t xml:space="preserve">säljande region ska räkna bort dessa utsläpp i </w:t>
      </w:r>
      <w:r w:rsidR="00722C02">
        <w:t>sin egen klimatredovisning</w:t>
      </w:r>
      <w:r>
        <w:t>.</w:t>
      </w:r>
      <w:r w:rsidRPr="00142F5A">
        <w:t xml:space="preserve"> </w:t>
      </w:r>
    </w:p>
    <w:p w14:paraId="39854956" w14:textId="77777777" w:rsidR="00FE41CF" w:rsidRPr="00FE41CF" w:rsidRDefault="00FE41CF" w:rsidP="00FE41CF">
      <w:r>
        <w:t xml:space="preserve">De </w:t>
      </w:r>
      <w:r w:rsidRPr="003A1650">
        <w:t xml:space="preserve">direkta utsläppen </w:t>
      </w:r>
      <w:r>
        <w:t xml:space="preserve">redovisas </w:t>
      </w:r>
      <w:r w:rsidRPr="003A1650">
        <w:t xml:space="preserve">i scope 1 </w:t>
      </w:r>
      <w:r w:rsidR="0033487C">
        <w:t xml:space="preserve">övriga indirekta utsläpp </w:t>
      </w:r>
      <w:r w:rsidRPr="003A1650">
        <w:t>redovisas i scope 3</w:t>
      </w:r>
      <w:r w:rsidRPr="00A4371D">
        <w:t>.</w:t>
      </w:r>
    </w:p>
    <w:p w14:paraId="495B2D8D" w14:textId="77777777" w:rsidR="00706912" w:rsidRDefault="00706912" w:rsidP="00AA125B">
      <w:bookmarkStart w:id="51" w:name="_Toc92867337"/>
    </w:p>
    <w:p w14:paraId="49EF54BC" w14:textId="77777777" w:rsidR="00E14ED5" w:rsidRDefault="00E14ED5" w:rsidP="00DF56D9">
      <w:pPr>
        <w:pStyle w:val="Rubrik3"/>
      </w:pPr>
      <w:bookmarkStart w:id="52" w:name="_Toc93482408"/>
      <w:bookmarkStart w:id="53" w:name="_Toc152920041"/>
      <w:r>
        <w:t>Godstransporter</w:t>
      </w:r>
      <w:bookmarkEnd w:id="51"/>
      <w:bookmarkEnd w:id="52"/>
      <w:bookmarkEnd w:id="53"/>
    </w:p>
    <w:p w14:paraId="7D929A51" w14:textId="77777777" w:rsidR="00656A35" w:rsidRPr="00656A35" w:rsidRDefault="00656A35" w:rsidP="00656A35">
      <w:pPr>
        <w:pStyle w:val="Rubrik4"/>
        <w:rPr>
          <w:i/>
        </w:rPr>
      </w:pPr>
      <w:r w:rsidRPr="00656A35">
        <w:t>Omfattning/avgränsningar</w:t>
      </w:r>
    </w:p>
    <w:p w14:paraId="7C371673" w14:textId="77777777" w:rsidR="00F67E76" w:rsidRDefault="00F67E76" w:rsidP="00656A35">
      <w:pPr>
        <w:rPr>
          <w:iCs/>
        </w:rPr>
      </w:pPr>
      <w:r>
        <w:rPr>
          <w:iCs/>
        </w:rPr>
        <w:t xml:space="preserve">I denna post inkluderas </w:t>
      </w:r>
      <w:r w:rsidR="00874CDB">
        <w:rPr>
          <w:iCs/>
        </w:rPr>
        <w:t xml:space="preserve">både </w:t>
      </w:r>
      <w:r>
        <w:rPr>
          <w:iCs/>
        </w:rPr>
        <w:t xml:space="preserve">egna </w:t>
      </w:r>
      <w:r w:rsidR="00874CDB">
        <w:rPr>
          <w:iCs/>
        </w:rPr>
        <w:t xml:space="preserve">och inköpta </w:t>
      </w:r>
      <w:r>
        <w:rPr>
          <w:iCs/>
        </w:rPr>
        <w:t xml:space="preserve">transporter </w:t>
      </w:r>
      <w:r w:rsidR="00874CDB">
        <w:rPr>
          <w:iCs/>
        </w:rPr>
        <w:t xml:space="preserve">av gods </w:t>
      </w:r>
      <w:r w:rsidR="007867A3">
        <w:rPr>
          <w:iCs/>
        </w:rPr>
        <w:t>och liknande</w:t>
      </w:r>
      <w:r>
        <w:rPr>
          <w:iCs/>
        </w:rPr>
        <w:t xml:space="preserve">. </w:t>
      </w:r>
    </w:p>
    <w:p w14:paraId="686531E3" w14:textId="77777777" w:rsidR="00656A35" w:rsidRDefault="00656A35" w:rsidP="00656A35">
      <w:r w:rsidRPr="008A5F57">
        <w:rPr>
          <w:i/>
        </w:rPr>
        <w:t>Egna godstransporter</w:t>
      </w:r>
      <w:r>
        <w:t xml:space="preserve">: </w:t>
      </w:r>
      <w:r w:rsidRPr="0023470D">
        <w:t xml:space="preserve">Utsläppen från egna godstransporter </w:t>
      </w:r>
      <w:r w:rsidR="00A05864">
        <w:t xml:space="preserve">ska ingå och </w:t>
      </w:r>
      <w:r w:rsidRPr="0023470D">
        <w:t xml:space="preserve">bör om möjligt särskiljas från tjänsteresor med bil och </w:t>
      </w:r>
      <w:r>
        <w:t>redovisas under denna post</w:t>
      </w:r>
      <w:r w:rsidRPr="0023470D">
        <w:t xml:space="preserve">. Om det inte är möjligt, bör det tydligt anges att de inkluderats i kategorin </w:t>
      </w:r>
      <w:r w:rsidR="00F67E76">
        <w:t>T</w:t>
      </w:r>
      <w:r w:rsidRPr="0023470D">
        <w:t>jänsteresor</w:t>
      </w:r>
      <w:r>
        <w:t xml:space="preserve">. </w:t>
      </w:r>
    </w:p>
    <w:p w14:paraId="0D37B1E7" w14:textId="77777777" w:rsidR="00656A35" w:rsidRDefault="00F67E76" w:rsidP="00656A35">
      <w:r>
        <w:rPr>
          <w:i/>
        </w:rPr>
        <w:t>Ink</w:t>
      </w:r>
      <w:r w:rsidR="00656A35" w:rsidRPr="008A5F57">
        <w:rPr>
          <w:i/>
        </w:rPr>
        <w:t>öpta godstransporter</w:t>
      </w:r>
      <w:r w:rsidR="00656A35">
        <w:t xml:space="preserve">: </w:t>
      </w:r>
      <w:r w:rsidR="00A05864">
        <w:t>U</w:t>
      </w:r>
      <w:r w:rsidR="00656A35">
        <w:t>pphandlade godstransporttjänster bör inkluderas.</w:t>
      </w:r>
      <w:r w:rsidR="00BB73BD">
        <w:t xml:space="preserve"> </w:t>
      </w:r>
    </w:p>
    <w:p w14:paraId="2CB095A1" w14:textId="77777777" w:rsidR="002D677D" w:rsidRPr="00A75EE3" w:rsidRDefault="002D677D" w:rsidP="002D677D">
      <w:pPr>
        <w:rPr>
          <w:bCs/>
          <w:iCs/>
        </w:rPr>
      </w:pPr>
      <w:r w:rsidRPr="00A75EE3">
        <w:rPr>
          <w:bCs/>
          <w:iCs/>
        </w:rPr>
        <w:t xml:space="preserve">Områden där det kan vara lämpligt att begära statistik från </w:t>
      </w:r>
      <w:r w:rsidR="00A05864">
        <w:rPr>
          <w:bCs/>
          <w:iCs/>
        </w:rPr>
        <w:t>transportörer</w:t>
      </w:r>
      <w:r w:rsidR="00A05864" w:rsidRPr="00A75EE3">
        <w:rPr>
          <w:bCs/>
          <w:iCs/>
        </w:rPr>
        <w:t xml:space="preserve"> </w:t>
      </w:r>
      <w:r w:rsidRPr="00A75EE3">
        <w:rPr>
          <w:bCs/>
          <w:iCs/>
        </w:rPr>
        <w:t>och inkludera dem i klimatberäkningarna är följande:</w:t>
      </w:r>
    </w:p>
    <w:p w14:paraId="0D69097F" w14:textId="77777777" w:rsidR="002D677D" w:rsidRPr="00A75EE3" w:rsidRDefault="002D677D" w:rsidP="005D4861">
      <w:pPr>
        <w:pStyle w:val="Liststycke"/>
        <w:numPr>
          <w:ilvl w:val="0"/>
          <w:numId w:val="4"/>
        </w:numPr>
        <w:spacing w:line="259" w:lineRule="auto"/>
        <w:rPr>
          <w:bCs/>
          <w:iCs/>
        </w:rPr>
      </w:pPr>
      <w:r w:rsidRPr="00A75EE3">
        <w:rPr>
          <w:bCs/>
          <w:iCs/>
        </w:rPr>
        <w:t>Distribution av livsmedel</w:t>
      </w:r>
    </w:p>
    <w:p w14:paraId="119E15F8" w14:textId="77777777" w:rsidR="00A05864" w:rsidRDefault="00A05864" w:rsidP="005D4861">
      <w:pPr>
        <w:pStyle w:val="Liststycke"/>
        <w:numPr>
          <w:ilvl w:val="0"/>
          <w:numId w:val="4"/>
        </w:numPr>
        <w:spacing w:line="259" w:lineRule="auto"/>
        <w:rPr>
          <w:bCs/>
          <w:iCs/>
        </w:rPr>
      </w:pPr>
      <w:r>
        <w:rPr>
          <w:bCs/>
          <w:iCs/>
        </w:rPr>
        <w:t>Distribution av post, bud och pakettjänster</w:t>
      </w:r>
    </w:p>
    <w:p w14:paraId="78BD93D9" w14:textId="77777777" w:rsidR="002D677D" w:rsidRPr="00A75EE3" w:rsidRDefault="002D677D" w:rsidP="005D4861">
      <w:pPr>
        <w:pStyle w:val="Liststycke"/>
        <w:numPr>
          <w:ilvl w:val="0"/>
          <w:numId w:val="4"/>
        </w:numPr>
        <w:spacing w:line="259" w:lineRule="auto"/>
        <w:rPr>
          <w:bCs/>
          <w:iCs/>
        </w:rPr>
      </w:pPr>
      <w:r w:rsidRPr="00A75EE3">
        <w:rPr>
          <w:bCs/>
          <w:iCs/>
        </w:rPr>
        <w:t>Distribution av förbrukningsmaterial</w:t>
      </w:r>
    </w:p>
    <w:p w14:paraId="1BDDD3FC" w14:textId="77777777" w:rsidR="002D677D" w:rsidRPr="00A75EE3" w:rsidRDefault="002D677D" w:rsidP="005D4861">
      <w:pPr>
        <w:pStyle w:val="Liststycke"/>
        <w:numPr>
          <w:ilvl w:val="0"/>
          <w:numId w:val="4"/>
        </w:numPr>
        <w:spacing w:line="259" w:lineRule="auto"/>
        <w:rPr>
          <w:bCs/>
          <w:iCs/>
        </w:rPr>
      </w:pPr>
      <w:r w:rsidRPr="00A75EE3">
        <w:rPr>
          <w:bCs/>
          <w:iCs/>
        </w:rPr>
        <w:t>Läkemedelsförsörjning</w:t>
      </w:r>
    </w:p>
    <w:p w14:paraId="281A309B" w14:textId="77777777" w:rsidR="002D677D" w:rsidRPr="00A75EE3" w:rsidRDefault="002D677D" w:rsidP="005D4861">
      <w:pPr>
        <w:pStyle w:val="Liststycke"/>
        <w:numPr>
          <w:ilvl w:val="0"/>
          <w:numId w:val="4"/>
        </w:numPr>
        <w:spacing w:line="259" w:lineRule="auto"/>
        <w:rPr>
          <w:bCs/>
          <w:iCs/>
        </w:rPr>
      </w:pPr>
      <w:r w:rsidRPr="00A75EE3">
        <w:rPr>
          <w:bCs/>
          <w:iCs/>
        </w:rPr>
        <w:t>Distribution av inkontinenshjälpmedel</w:t>
      </w:r>
    </w:p>
    <w:p w14:paraId="0FC77DC8" w14:textId="77777777" w:rsidR="002D677D" w:rsidRPr="00A75EE3" w:rsidRDefault="002D677D" w:rsidP="005D4861">
      <w:pPr>
        <w:pStyle w:val="Liststycke"/>
        <w:numPr>
          <w:ilvl w:val="0"/>
          <w:numId w:val="4"/>
        </w:numPr>
        <w:spacing w:line="259" w:lineRule="auto"/>
        <w:rPr>
          <w:bCs/>
          <w:iCs/>
        </w:rPr>
      </w:pPr>
      <w:r w:rsidRPr="00A75EE3">
        <w:rPr>
          <w:bCs/>
          <w:iCs/>
        </w:rPr>
        <w:t>Distribution av medicinska gaser</w:t>
      </w:r>
    </w:p>
    <w:p w14:paraId="73312277" w14:textId="77777777" w:rsidR="00222A87" w:rsidRPr="007867A3" w:rsidRDefault="002D677D" w:rsidP="00572743">
      <w:pPr>
        <w:pStyle w:val="Liststycke"/>
        <w:numPr>
          <w:ilvl w:val="0"/>
          <w:numId w:val="4"/>
        </w:numPr>
        <w:spacing w:line="259" w:lineRule="auto"/>
        <w:rPr>
          <w:bCs/>
          <w:iCs/>
        </w:rPr>
      </w:pPr>
      <w:r w:rsidRPr="007867A3">
        <w:rPr>
          <w:bCs/>
          <w:iCs/>
        </w:rPr>
        <w:t xml:space="preserve">Transport av avlidna </w:t>
      </w:r>
    </w:p>
    <w:p w14:paraId="3F043401" w14:textId="77777777" w:rsidR="00656A35" w:rsidRPr="00656A35" w:rsidRDefault="00656A35" w:rsidP="00656A35">
      <w:pPr>
        <w:pStyle w:val="Rubrik4"/>
        <w:rPr>
          <w:i/>
        </w:rPr>
      </w:pPr>
      <w:r w:rsidRPr="00656A35">
        <w:t xml:space="preserve">Underlag och </w:t>
      </w:r>
      <w:r w:rsidRPr="003F1F6C">
        <w:t>beräkningsmetod</w:t>
      </w:r>
    </w:p>
    <w:p w14:paraId="1F4BDF1C" w14:textId="77777777" w:rsidR="00656A35" w:rsidRDefault="00656A35" w:rsidP="00656A35">
      <w:r w:rsidRPr="006D677B">
        <w:rPr>
          <w:i/>
        </w:rPr>
        <w:t>Egna godstransporter</w:t>
      </w:r>
      <w:r>
        <w:t xml:space="preserve">: Förbrukad </w:t>
      </w:r>
      <w:r w:rsidR="003E7915">
        <w:t>volym</w:t>
      </w:r>
      <w:r>
        <w:t xml:space="preserve"> av </w:t>
      </w:r>
      <w:r w:rsidR="003E7915">
        <w:t>respektive</w:t>
      </w:r>
      <w:r w:rsidRPr="0023470D">
        <w:t xml:space="preserve"> drivmedel</w:t>
      </w:r>
      <w:r>
        <w:t xml:space="preserve"> bör i första hand utgöra underlag. </w:t>
      </w:r>
      <w:r w:rsidR="002C184A" w:rsidRPr="002C184A">
        <w:t xml:space="preserve"> </w:t>
      </w:r>
      <w:r w:rsidR="002C184A">
        <w:t xml:space="preserve">I andra hand kan körda kilometer användas. </w:t>
      </w:r>
      <w:r>
        <w:t xml:space="preserve">Klimatpåverkan beräknas med utgångspunkt från förbrukad bränslemängd </w:t>
      </w:r>
      <w:r w:rsidRPr="0023470D">
        <w:t xml:space="preserve">och det aktuella drivmedlets utsläppsfaktorer. </w:t>
      </w:r>
      <w:r>
        <w:t xml:space="preserve">De </w:t>
      </w:r>
      <w:r w:rsidRPr="003A1650">
        <w:t xml:space="preserve">direkta utsläppen </w:t>
      </w:r>
      <w:r>
        <w:t xml:space="preserve">redovisas </w:t>
      </w:r>
      <w:r w:rsidRPr="003A1650">
        <w:t xml:space="preserve">i scope 1 och </w:t>
      </w:r>
      <w:r w:rsidR="00993D62">
        <w:t>övriga utsläpp under bränslets livscykel</w:t>
      </w:r>
      <w:r w:rsidRPr="003A1650">
        <w:t xml:space="preserve"> redovisas i scope 3</w:t>
      </w:r>
      <w:r>
        <w:t>.</w:t>
      </w:r>
    </w:p>
    <w:p w14:paraId="3CBAF95B" w14:textId="77777777" w:rsidR="00656A35" w:rsidRPr="00EF0E6F" w:rsidRDefault="00F67E76" w:rsidP="00656A35">
      <w:pPr>
        <w:rPr>
          <w:bCs/>
          <w:iCs/>
        </w:rPr>
      </w:pPr>
      <w:r>
        <w:rPr>
          <w:bCs/>
          <w:i/>
          <w:iCs/>
        </w:rPr>
        <w:t>Ink</w:t>
      </w:r>
      <w:r w:rsidR="00656A35" w:rsidRPr="006D677B">
        <w:rPr>
          <w:bCs/>
          <w:i/>
          <w:iCs/>
        </w:rPr>
        <w:t>öpta godstransporter</w:t>
      </w:r>
      <w:r w:rsidR="00656A35">
        <w:rPr>
          <w:bCs/>
          <w:iCs/>
        </w:rPr>
        <w:t xml:space="preserve">: </w:t>
      </w:r>
      <w:r w:rsidR="001C31A7">
        <w:t>Förbrukad volym av respektive</w:t>
      </w:r>
      <w:r w:rsidR="001C31A7" w:rsidRPr="0023470D">
        <w:t xml:space="preserve"> drivmedel</w:t>
      </w:r>
      <w:r w:rsidR="001C31A7">
        <w:t xml:space="preserve"> bör i första hand utgöra underlag. I andra hand kan körda kilometer användas. </w:t>
      </w:r>
      <w:r w:rsidR="00993D62">
        <w:rPr>
          <w:bCs/>
          <w:iCs/>
        </w:rPr>
        <w:t>Regionen bör e</w:t>
      </w:r>
      <w:r w:rsidR="006D2CFE">
        <w:rPr>
          <w:bCs/>
          <w:iCs/>
        </w:rPr>
        <w:t>fterfråga</w:t>
      </w:r>
      <w:r w:rsidR="00656A35" w:rsidRPr="00857586">
        <w:rPr>
          <w:bCs/>
          <w:iCs/>
        </w:rPr>
        <w:t xml:space="preserve"> statistik</w:t>
      </w:r>
      <w:r w:rsidR="00D46AFC">
        <w:rPr>
          <w:bCs/>
          <w:iCs/>
        </w:rPr>
        <w:t xml:space="preserve"> som minst</w:t>
      </w:r>
      <w:r w:rsidR="00656A35" w:rsidRPr="00857586">
        <w:rPr>
          <w:bCs/>
          <w:iCs/>
        </w:rPr>
        <w:t xml:space="preserve"> från </w:t>
      </w:r>
      <w:r w:rsidR="006D2CFE">
        <w:rPr>
          <w:bCs/>
          <w:iCs/>
        </w:rPr>
        <w:t>samtliga</w:t>
      </w:r>
      <w:r w:rsidR="00656A35" w:rsidRPr="00857586">
        <w:rPr>
          <w:bCs/>
          <w:iCs/>
        </w:rPr>
        <w:t xml:space="preserve"> större </w:t>
      </w:r>
      <w:r w:rsidR="006B7ABA">
        <w:rPr>
          <w:bCs/>
          <w:iCs/>
        </w:rPr>
        <w:t>upphandlingar</w:t>
      </w:r>
      <w:r w:rsidR="00A05864">
        <w:rPr>
          <w:bCs/>
          <w:iCs/>
        </w:rPr>
        <w:t xml:space="preserve"> i listan ovan, </w:t>
      </w:r>
      <w:r w:rsidR="00656A35" w:rsidRPr="00857586">
        <w:rPr>
          <w:bCs/>
          <w:iCs/>
        </w:rPr>
        <w:t xml:space="preserve">om </w:t>
      </w:r>
      <w:r w:rsidR="00656A35">
        <w:rPr>
          <w:bCs/>
          <w:iCs/>
        </w:rPr>
        <w:t>f</w:t>
      </w:r>
      <w:r w:rsidR="00656A35" w:rsidRPr="00A75EE3">
        <w:rPr>
          <w:bCs/>
          <w:iCs/>
        </w:rPr>
        <w:t>örbrukat bränsle för regionens räkning</w:t>
      </w:r>
      <w:r w:rsidR="00656A35">
        <w:rPr>
          <w:bCs/>
          <w:iCs/>
        </w:rPr>
        <w:t>,</w:t>
      </w:r>
      <w:r w:rsidR="00656A35" w:rsidRPr="00A75EE3">
        <w:rPr>
          <w:bCs/>
          <w:iCs/>
        </w:rPr>
        <w:t xml:space="preserve"> </w:t>
      </w:r>
      <w:r w:rsidR="00656A35">
        <w:rPr>
          <w:bCs/>
          <w:iCs/>
        </w:rPr>
        <w:t xml:space="preserve">angivet </w:t>
      </w:r>
      <w:r w:rsidR="00656A35" w:rsidRPr="00A75EE3">
        <w:rPr>
          <w:bCs/>
          <w:iCs/>
        </w:rPr>
        <w:t xml:space="preserve">per bränsletyp. </w:t>
      </w:r>
      <w:r w:rsidR="008D32B1">
        <w:rPr>
          <w:bCs/>
          <w:iCs/>
        </w:rPr>
        <w:t xml:space="preserve">Utsläpp för mindre </w:t>
      </w:r>
      <w:r w:rsidR="001C31A7">
        <w:rPr>
          <w:bCs/>
          <w:iCs/>
        </w:rPr>
        <w:t xml:space="preserve">transportörer </w:t>
      </w:r>
      <w:r w:rsidR="008D32B1">
        <w:rPr>
          <w:bCs/>
          <w:iCs/>
        </w:rPr>
        <w:t>kan extrapoleras utifrån tillgänglig information</w:t>
      </w:r>
      <w:r w:rsidR="001C31A7">
        <w:rPr>
          <w:bCs/>
          <w:iCs/>
        </w:rPr>
        <w:t xml:space="preserve"> från data från större transportörer</w:t>
      </w:r>
      <w:r w:rsidR="008056C7">
        <w:rPr>
          <w:bCs/>
          <w:iCs/>
        </w:rPr>
        <w:t xml:space="preserve">, exempelvis genom att beräkna </w:t>
      </w:r>
      <w:r w:rsidR="00126180">
        <w:rPr>
          <w:bCs/>
          <w:iCs/>
        </w:rPr>
        <w:t>km</w:t>
      </w:r>
      <w:r w:rsidR="008056C7">
        <w:rPr>
          <w:bCs/>
          <w:iCs/>
        </w:rPr>
        <w:t>/SEK</w:t>
      </w:r>
      <w:r w:rsidR="008D32B1">
        <w:rPr>
          <w:bCs/>
          <w:iCs/>
        </w:rPr>
        <w:t xml:space="preserve">. </w:t>
      </w:r>
      <w:r w:rsidR="00656A35">
        <w:rPr>
          <w:bCs/>
          <w:iCs/>
        </w:rPr>
        <w:t>Utsläppen redovisas i scope 3.</w:t>
      </w:r>
    </w:p>
    <w:p w14:paraId="6BFCFD22" w14:textId="77777777" w:rsidR="00656A35" w:rsidRDefault="00094FD4" w:rsidP="00656A35">
      <w:pPr>
        <w:rPr>
          <w:bCs/>
          <w:iCs/>
        </w:rPr>
      </w:pPr>
      <w:r>
        <w:rPr>
          <w:bCs/>
          <w:iCs/>
        </w:rPr>
        <w:t>F</w:t>
      </w:r>
      <w:r w:rsidR="00656A35">
        <w:rPr>
          <w:bCs/>
          <w:iCs/>
        </w:rPr>
        <w:t xml:space="preserve">ör att underlätta statistikinsamlingen </w:t>
      </w:r>
      <w:r w:rsidR="00F579C1">
        <w:rPr>
          <w:bCs/>
          <w:iCs/>
        </w:rPr>
        <w:t>bör</w:t>
      </w:r>
      <w:r>
        <w:rPr>
          <w:bCs/>
          <w:iCs/>
        </w:rPr>
        <w:t xml:space="preserve"> regionen att</w:t>
      </w:r>
      <w:r w:rsidR="00656A35">
        <w:rPr>
          <w:bCs/>
          <w:iCs/>
        </w:rPr>
        <w:t xml:space="preserve"> successivt </w:t>
      </w:r>
      <w:r>
        <w:rPr>
          <w:bCs/>
          <w:iCs/>
        </w:rPr>
        <w:t xml:space="preserve">införa </w:t>
      </w:r>
      <w:r w:rsidR="00656A35">
        <w:rPr>
          <w:bCs/>
          <w:iCs/>
        </w:rPr>
        <w:t>krav</w:t>
      </w:r>
      <w:r w:rsidR="00656A35" w:rsidRPr="00A75EE3">
        <w:rPr>
          <w:bCs/>
          <w:iCs/>
        </w:rPr>
        <w:t xml:space="preserve"> på årlig statistik vid transportintensiva upphandlingar. Kravet behöver anpassas till </w:t>
      </w:r>
      <w:r w:rsidR="00656A35">
        <w:rPr>
          <w:bCs/>
          <w:iCs/>
        </w:rPr>
        <w:t xml:space="preserve">respektive </w:t>
      </w:r>
      <w:r w:rsidR="00656A35" w:rsidRPr="00A75EE3">
        <w:rPr>
          <w:bCs/>
          <w:iCs/>
        </w:rPr>
        <w:t>upphandling</w:t>
      </w:r>
      <w:r w:rsidR="00656A35">
        <w:rPr>
          <w:bCs/>
          <w:iCs/>
        </w:rPr>
        <w:t>.</w:t>
      </w:r>
    </w:p>
    <w:tbl>
      <w:tblPr>
        <w:tblStyle w:val="Tabellrutnt"/>
        <w:tblW w:w="0" w:type="auto"/>
        <w:tblCellMar>
          <w:top w:w="57" w:type="dxa"/>
          <w:bottom w:w="57" w:type="dxa"/>
        </w:tblCellMar>
        <w:tblLook w:val="04A0" w:firstRow="1" w:lastRow="0" w:firstColumn="1" w:lastColumn="0" w:noHBand="0" w:noVBand="1"/>
      </w:tblPr>
      <w:tblGrid>
        <w:gridCol w:w="9062"/>
      </w:tblGrid>
      <w:tr w:rsidR="00E5658E" w14:paraId="2B44F2A8" w14:textId="77777777" w:rsidTr="00390823">
        <w:tc>
          <w:tcPr>
            <w:tcW w:w="9062" w:type="dxa"/>
          </w:tcPr>
          <w:p w14:paraId="638802D3" w14:textId="77777777" w:rsidR="00E5658E" w:rsidRDefault="0040216C" w:rsidP="00656A35">
            <w:pPr>
              <w:rPr>
                <w:b/>
                <w:iCs/>
              </w:rPr>
            </w:pPr>
            <w:r w:rsidRPr="0040216C">
              <w:rPr>
                <w:b/>
                <w:iCs/>
              </w:rPr>
              <w:t xml:space="preserve">Vilken information ska anges i verktyget? </w:t>
            </w:r>
          </w:p>
          <w:p w14:paraId="73E1540E" w14:textId="77777777" w:rsidR="00D316F2" w:rsidRPr="00D316F2" w:rsidRDefault="00D316F2" w:rsidP="00656A35">
            <w:pPr>
              <w:rPr>
                <w:bCs/>
                <w:iCs/>
              </w:rPr>
            </w:pPr>
            <w:r w:rsidRPr="00D316F2">
              <w:rPr>
                <w:bCs/>
                <w:iCs/>
              </w:rPr>
              <w:t xml:space="preserve">I verktyget kan regionen mata in olika typer av information. Dessa listas i prioritetsordning nedan. </w:t>
            </w:r>
          </w:p>
          <w:p w14:paraId="2662A382" w14:textId="77777777" w:rsidR="00623996" w:rsidRDefault="00623996" w:rsidP="00623996">
            <w:pPr>
              <w:pStyle w:val="Liststycke"/>
              <w:numPr>
                <w:ilvl w:val="0"/>
                <w:numId w:val="16"/>
              </w:numPr>
              <w:rPr>
                <w:bCs/>
                <w:iCs/>
              </w:rPr>
            </w:pPr>
            <w:r>
              <w:rPr>
                <w:bCs/>
                <w:iCs/>
              </w:rPr>
              <w:t>Ange bränsleförbrukning och typ av bränsle</w:t>
            </w:r>
            <w:r w:rsidR="00064BEE">
              <w:rPr>
                <w:bCs/>
                <w:iCs/>
              </w:rPr>
              <w:t xml:space="preserve"> i verktyget</w:t>
            </w:r>
          </w:p>
          <w:p w14:paraId="312786F9" w14:textId="77777777" w:rsidR="00623996" w:rsidRDefault="00623996" w:rsidP="00623996">
            <w:pPr>
              <w:pStyle w:val="Liststycke"/>
              <w:numPr>
                <w:ilvl w:val="0"/>
                <w:numId w:val="16"/>
              </w:numPr>
              <w:rPr>
                <w:bCs/>
                <w:iCs/>
              </w:rPr>
            </w:pPr>
            <w:r>
              <w:rPr>
                <w:bCs/>
                <w:iCs/>
              </w:rPr>
              <w:t xml:space="preserve">Ange körda </w:t>
            </w:r>
            <w:r w:rsidR="00D316F2">
              <w:rPr>
                <w:bCs/>
                <w:iCs/>
              </w:rPr>
              <w:t>ton</w:t>
            </w:r>
            <w:r>
              <w:rPr>
                <w:bCs/>
                <w:iCs/>
              </w:rPr>
              <w:t xml:space="preserve">kilometer </w:t>
            </w:r>
            <w:r w:rsidR="00064BEE">
              <w:rPr>
                <w:bCs/>
                <w:iCs/>
              </w:rPr>
              <w:t>i verktyget</w:t>
            </w:r>
          </w:p>
          <w:p w14:paraId="5471C2A4" w14:textId="77777777" w:rsidR="008056C7" w:rsidRPr="00126180" w:rsidRDefault="00810C65" w:rsidP="00126180">
            <w:pPr>
              <w:pStyle w:val="Liststycke"/>
              <w:numPr>
                <w:ilvl w:val="0"/>
                <w:numId w:val="16"/>
              </w:numPr>
              <w:rPr>
                <w:bCs/>
                <w:iCs/>
              </w:rPr>
            </w:pPr>
            <w:r>
              <w:rPr>
                <w:bCs/>
                <w:iCs/>
              </w:rPr>
              <w:t xml:space="preserve">Med hjälp av tillgänglig information från större </w:t>
            </w:r>
            <w:r w:rsidR="008056C7">
              <w:rPr>
                <w:bCs/>
                <w:iCs/>
              </w:rPr>
              <w:t>upphandlingar</w:t>
            </w:r>
            <w:r>
              <w:rPr>
                <w:bCs/>
                <w:iCs/>
              </w:rPr>
              <w:t xml:space="preserve"> kan regionen beräkna en schablon utifrån kostnad för transport samt körda kilometer. </w:t>
            </w:r>
            <w:r w:rsidR="0040216C">
              <w:rPr>
                <w:bCs/>
                <w:iCs/>
              </w:rPr>
              <w:t xml:space="preserve">Därefter matas en uppskattad distans in i verktyget. </w:t>
            </w:r>
          </w:p>
        </w:tc>
      </w:tr>
    </w:tbl>
    <w:p w14:paraId="0F1DF226" w14:textId="77777777" w:rsidR="00FE2C0C" w:rsidRDefault="00FE2C0C" w:rsidP="00656A35">
      <w:pPr>
        <w:rPr>
          <w:b/>
          <w:iCs/>
        </w:rPr>
      </w:pPr>
    </w:p>
    <w:p w14:paraId="0ADF4A7D" w14:textId="77777777" w:rsidR="0040216C" w:rsidRPr="00E23F9D" w:rsidRDefault="0040216C" w:rsidP="00656A35">
      <w:pPr>
        <w:rPr>
          <w:b/>
          <w:iCs/>
        </w:rPr>
      </w:pPr>
      <w:r w:rsidRPr="00E23F9D">
        <w:rPr>
          <w:b/>
          <w:iCs/>
        </w:rPr>
        <w:t xml:space="preserve">Läs mer </w:t>
      </w:r>
    </w:p>
    <w:p w14:paraId="3339571B" w14:textId="77777777" w:rsidR="00AD66B3" w:rsidRPr="00015955" w:rsidRDefault="0040216C" w:rsidP="00AD66B3">
      <w:pPr>
        <w:rPr>
          <w:bCs/>
          <w:iCs/>
        </w:rPr>
      </w:pPr>
      <w:r>
        <w:rPr>
          <w:bCs/>
          <w:iCs/>
        </w:rPr>
        <w:t>Upphandlingsmyndighetens</w:t>
      </w:r>
      <w:r w:rsidR="00AA4346">
        <w:rPr>
          <w:bCs/>
          <w:iCs/>
        </w:rPr>
        <w:t xml:space="preserve"> kriterietext för ”</w:t>
      </w:r>
      <w:hyperlink r:id="rId35" w:history="1">
        <w:r w:rsidR="00AA4346" w:rsidRPr="00E23F9D">
          <w:rPr>
            <w:rStyle w:val="Hyperlnk"/>
            <w:bCs/>
            <w:iCs/>
          </w:rPr>
          <w:t>Informationskrav för minskad klimatpåverkan</w:t>
        </w:r>
      </w:hyperlink>
      <w:r w:rsidR="00AA4346">
        <w:rPr>
          <w:bCs/>
          <w:iCs/>
        </w:rPr>
        <w:t>”</w:t>
      </w:r>
    </w:p>
    <w:p w14:paraId="39CF7B67" w14:textId="77777777" w:rsidR="006F0DA2" w:rsidRDefault="006F0DA2" w:rsidP="00AA125B">
      <w:bookmarkStart w:id="54" w:name="_Toc92867338"/>
    </w:p>
    <w:p w14:paraId="67BDFB07" w14:textId="77777777" w:rsidR="00E14ED5" w:rsidRDefault="00E14ED5" w:rsidP="00DF56D9">
      <w:pPr>
        <w:pStyle w:val="Rubrik3"/>
      </w:pPr>
      <w:bookmarkStart w:id="55" w:name="_Toc93482409"/>
      <w:bookmarkStart w:id="56" w:name="_Toc152920042"/>
      <w:r>
        <w:t>Betalda patientresor</w:t>
      </w:r>
      <w:bookmarkEnd w:id="54"/>
      <w:bookmarkEnd w:id="55"/>
      <w:bookmarkEnd w:id="56"/>
    </w:p>
    <w:p w14:paraId="7E5428DC" w14:textId="77777777" w:rsidR="00071B6E" w:rsidRPr="00071B6E" w:rsidRDefault="00071B6E" w:rsidP="00071B6E">
      <w:pPr>
        <w:pStyle w:val="Rubrik4"/>
        <w:rPr>
          <w:i/>
        </w:rPr>
      </w:pPr>
      <w:r w:rsidRPr="00071B6E">
        <w:t>Omfattning/avgränsningar</w:t>
      </w:r>
    </w:p>
    <w:p w14:paraId="7DB080A5" w14:textId="77777777" w:rsidR="00071B6E" w:rsidRDefault="00071B6E" w:rsidP="00071B6E">
      <w:r>
        <w:t xml:space="preserve">I denna post beräknas eventuella patientresor som betalas av regionen och som inte ingår i posten särskild kollektivtrafik/serviceresor. Exempel på denna typ av resor är </w:t>
      </w:r>
      <w:r w:rsidRPr="00AE0152">
        <w:t>sjukresor med egen bil, buss eller tåg om man har remitterats utanför länet och har en specialistvårdsremiss eller vårdgarantiremiss.</w:t>
      </w:r>
    </w:p>
    <w:p w14:paraId="77443C8A" w14:textId="77777777" w:rsidR="00071B6E" w:rsidRPr="00BB7C6C" w:rsidRDefault="00BD29C2" w:rsidP="00071B6E">
      <w:r>
        <w:t xml:space="preserve">Regionen </w:t>
      </w:r>
      <w:r w:rsidR="00FD7CD2">
        <w:t xml:space="preserve">behöver säkerställa att betalda patientresor </w:t>
      </w:r>
      <w:r w:rsidR="00427D1D">
        <w:t xml:space="preserve">genom kollektivtrafiken </w:t>
      </w:r>
      <w:r w:rsidR="00FD7CD2">
        <w:t xml:space="preserve">inte dubbelräknas </w:t>
      </w:r>
      <w:r w:rsidR="00427D1D">
        <w:t xml:space="preserve">med den rapportering </w:t>
      </w:r>
      <w:r w:rsidR="00DC27D0">
        <w:t>som görs under Kollektivtrafik.</w:t>
      </w:r>
      <w:r w:rsidR="00147DF7">
        <w:t xml:space="preserve"> </w:t>
      </w:r>
      <w:r w:rsidR="00285C35">
        <w:t xml:space="preserve">Regionen kan rapportera </w:t>
      </w:r>
      <w:r w:rsidR="00CD2615">
        <w:t>informationen i vilken som av kategorierna</w:t>
      </w:r>
      <w:r w:rsidR="00147DF7">
        <w:t xml:space="preserve">. </w:t>
      </w:r>
    </w:p>
    <w:p w14:paraId="0FD36B0E" w14:textId="77777777" w:rsidR="00071B6E" w:rsidRPr="00071B6E" w:rsidRDefault="00071B6E" w:rsidP="00071B6E">
      <w:pPr>
        <w:pStyle w:val="Rubrik4"/>
        <w:rPr>
          <w:i/>
        </w:rPr>
      </w:pPr>
      <w:r w:rsidRPr="00071B6E">
        <w:t>Underlag och beräkningsmetod</w:t>
      </w:r>
    </w:p>
    <w:p w14:paraId="3CBEA15F" w14:textId="77777777" w:rsidR="00071B6E" w:rsidRDefault="00806B1C" w:rsidP="00071B6E">
      <w:r>
        <w:t xml:space="preserve">Regionen </w:t>
      </w:r>
      <w:r w:rsidR="00DC5A9A">
        <w:t xml:space="preserve">bör </w:t>
      </w:r>
      <w:r>
        <w:t>rapportera in</w:t>
      </w:r>
      <w:r w:rsidR="00071B6E">
        <w:t xml:space="preserve"> bränslemängd i första hand och körda k</w:t>
      </w:r>
      <w:r>
        <w:t>ilometer</w:t>
      </w:r>
      <w:r w:rsidR="00071B6E">
        <w:t xml:space="preserve"> i andra hand. Beräkningsmetod beror </w:t>
      </w:r>
      <w:r>
        <w:t xml:space="preserve">dock </w:t>
      </w:r>
      <w:r w:rsidR="00071B6E">
        <w:t>på vilket underlag som finns, se föreslagna beräkningsmetod för Tjänsteresor som exempel.</w:t>
      </w:r>
    </w:p>
    <w:p w14:paraId="78419692" w14:textId="77777777" w:rsidR="009D3918" w:rsidRDefault="00071B6E" w:rsidP="00874CDB">
      <w:r w:rsidRPr="00B4679D">
        <w:t>Posten redovisas i scope 3.</w:t>
      </w:r>
      <w:bookmarkStart w:id="57" w:name="_Toc92867339"/>
    </w:p>
    <w:p w14:paraId="073A4FCF" w14:textId="77777777" w:rsidR="009D3918" w:rsidRDefault="009D3918" w:rsidP="00874CDB">
      <w:pPr>
        <w:rPr>
          <w:rFonts w:ascii="Museo Sans Rounded 900" w:hAnsi="Museo Sans Rounded 900"/>
          <w:b/>
          <w:bCs/>
          <w:szCs w:val="18"/>
        </w:rPr>
      </w:pPr>
    </w:p>
    <w:p w14:paraId="631479E9" w14:textId="77777777" w:rsidR="00E14ED5" w:rsidRDefault="00E14ED5" w:rsidP="00DF56D9">
      <w:pPr>
        <w:pStyle w:val="Rubrik3"/>
      </w:pPr>
      <w:bookmarkStart w:id="58" w:name="_Toc93482410"/>
      <w:bookmarkStart w:id="59" w:name="_Toc152920043"/>
      <w:r>
        <w:t>Ej betalda patientresor</w:t>
      </w:r>
      <w:bookmarkEnd w:id="57"/>
      <w:bookmarkEnd w:id="58"/>
      <w:bookmarkEnd w:id="59"/>
    </w:p>
    <w:p w14:paraId="2395C4F3" w14:textId="77777777" w:rsidR="00874CDB" w:rsidRDefault="00874CDB" w:rsidP="001C31A7">
      <w:r>
        <w:t xml:space="preserve">Hur patienter tar sig till och från sjukvården kan ha en avsevärd klimatpåverkan och </w:t>
      </w:r>
      <w:r w:rsidR="003A5175">
        <w:t>i många fall är det</w:t>
      </w:r>
      <w:r>
        <w:t xml:space="preserve"> möjligt för regionen att </w:t>
      </w:r>
      <w:r w:rsidR="003A5175">
        <w:t>minska påverkan och underlätta för patienten</w:t>
      </w:r>
      <w:r w:rsidR="00242838">
        <w:t xml:space="preserve"> genom </w:t>
      </w:r>
      <w:r>
        <w:t xml:space="preserve">kollektivtrafik, gång och cykel. </w:t>
      </w:r>
      <w:r w:rsidR="001C31A7">
        <w:t>I</w:t>
      </w:r>
      <w:r w:rsidR="00650CBE">
        <w:t>nformation för icke betalda patientresor</w:t>
      </w:r>
      <w:r w:rsidR="001C31A7">
        <w:t xml:space="preserve"> </w:t>
      </w:r>
      <w:r w:rsidR="00242838">
        <w:t>kan dock vara</w:t>
      </w:r>
      <w:r w:rsidR="00DF4163">
        <w:t xml:space="preserve"> </w:t>
      </w:r>
      <w:r w:rsidR="00650CBE">
        <w:t>svår att få</w:t>
      </w:r>
      <w:r w:rsidR="00DF4163">
        <w:t xml:space="preserve"> och har samlats</w:t>
      </w:r>
      <w:r w:rsidR="00484803">
        <w:t xml:space="preserve"> in</w:t>
      </w:r>
      <w:r w:rsidR="00DF4163">
        <w:t xml:space="preserve"> av region</w:t>
      </w:r>
      <w:r w:rsidR="00766AEF">
        <w:t xml:space="preserve">erna </w:t>
      </w:r>
      <w:r w:rsidR="00DF4163">
        <w:t>i begränsad omfattning</w:t>
      </w:r>
      <w:r w:rsidR="00650CBE">
        <w:t>.</w:t>
      </w:r>
      <w:r w:rsidR="00DF4163">
        <w:t xml:space="preserve"> </w:t>
      </w:r>
      <w:r>
        <w:t xml:space="preserve">Till exempel har Region Västerbotten samlat in information genom enkät till berörda patienter. </w:t>
      </w:r>
    </w:p>
    <w:p w14:paraId="20D1CA7C" w14:textId="77777777" w:rsidR="003068A5" w:rsidRDefault="00BB7D7C" w:rsidP="001C31A7">
      <w:pPr>
        <w:rPr>
          <w:iCs/>
        </w:rPr>
      </w:pPr>
      <w:r>
        <w:rPr>
          <w:iCs/>
        </w:rPr>
        <w:t xml:space="preserve">Posten </w:t>
      </w:r>
      <w:r w:rsidRPr="002C078D">
        <w:rPr>
          <w:iCs/>
        </w:rPr>
        <w:t>k</w:t>
      </w:r>
      <w:r>
        <w:rPr>
          <w:iCs/>
        </w:rPr>
        <w:t xml:space="preserve">an ses som en ”avancerad nivå”, </w:t>
      </w:r>
      <w:r w:rsidR="00484803">
        <w:rPr>
          <w:iCs/>
        </w:rPr>
        <w:t xml:space="preserve">och därmed ses som </w:t>
      </w:r>
      <w:r w:rsidR="00DC5F6E">
        <w:rPr>
          <w:iCs/>
        </w:rPr>
        <w:t>ett</w:t>
      </w:r>
      <w:r>
        <w:rPr>
          <w:iCs/>
        </w:rPr>
        <w:t xml:space="preserve"> framtida utvecklingsarbete</w:t>
      </w:r>
      <w:r w:rsidR="00DC5F6E">
        <w:rPr>
          <w:iCs/>
        </w:rPr>
        <w:t xml:space="preserve"> för regioner som ej kan redovisa denna post i dagsläget</w:t>
      </w:r>
      <w:r>
        <w:rPr>
          <w:iCs/>
        </w:rPr>
        <w:t>.</w:t>
      </w:r>
    </w:p>
    <w:p w14:paraId="2B51AE58" w14:textId="77777777" w:rsidR="003068A5" w:rsidRDefault="003068A5" w:rsidP="003068A5">
      <w:r w:rsidRPr="00B4679D">
        <w:t>Posten redovisas i scope 3.</w:t>
      </w:r>
    </w:p>
    <w:p w14:paraId="2AD2AA0C" w14:textId="77777777" w:rsidR="00E14ED5" w:rsidRDefault="00E14ED5" w:rsidP="00DF56D9">
      <w:pPr>
        <w:pStyle w:val="Rubrik3"/>
      </w:pPr>
      <w:bookmarkStart w:id="60" w:name="_Toc92867340"/>
      <w:bookmarkStart w:id="61" w:name="_Toc93482411"/>
      <w:bookmarkStart w:id="62" w:name="_Toc152920044"/>
      <w:r>
        <w:t>Arbetspendling</w:t>
      </w:r>
      <w:bookmarkEnd w:id="60"/>
      <w:bookmarkEnd w:id="61"/>
      <w:bookmarkEnd w:id="62"/>
    </w:p>
    <w:p w14:paraId="6ED25863" w14:textId="77777777" w:rsidR="001951A9" w:rsidRPr="001951A9" w:rsidRDefault="001951A9" w:rsidP="001951A9">
      <w:pPr>
        <w:pStyle w:val="Rubrik4"/>
        <w:rPr>
          <w:i/>
        </w:rPr>
      </w:pPr>
      <w:r w:rsidRPr="001951A9">
        <w:t>Omfattning/avgränsningar</w:t>
      </w:r>
    </w:p>
    <w:p w14:paraId="1695B97D" w14:textId="77777777" w:rsidR="004E72BE" w:rsidRDefault="001951A9" w:rsidP="001C31A7">
      <w:r>
        <w:t xml:space="preserve">I denna post ingår arbetspendling för samtliga </w:t>
      </w:r>
      <w:r w:rsidR="004E72BE">
        <w:t xml:space="preserve">anställda på regionen. </w:t>
      </w:r>
      <w:r w:rsidR="001C31A7">
        <w:t>Posten</w:t>
      </w:r>
      <w:r w:rsidR="00BB7D7C">
        <w:t xml:space="preserve"> </w:t>
      </w:r>
      <w:r w:rsidR="00156B25">
        <w:t xml:space="preserve">är ofta betydande, men kan ses som en </w:t>
      </w:r>
      <w:r w:rsidR="00BB7D7C">
        <w:t>mer avancerad nivå på klimatredovisningen då den kräver särskilda undersökni</w:t>
      </w:r>
      <w:r w:rsidR="00156B25">
        <w:t>ng</w:t>
      </w:r>
      <w:r w:rsidR="00BB7D7C">
        <w:t>ar.</w:t>
      </w:r>
      <w:r w:rsidR="001C31A7">
        <w:t xml:space="preserve"> </w:t>
      </w:r>
    </w:p>
    <w:p w14:paraId="08F9BD11" w14:textId="77777777" w:rsidR="00F75023" w:rsidRDefault="00EC1672" w:rsidP="001951A9">
      <w:r>
        <w:t xml:space="preserve">I denna post redovisas </w:t>
      </w:r>
      <w:r w:rsidR="00766AEF">
        <w:t xml:space="preserve">utsläppen från </w:t>
      </w:r>
      <w:r w:rsidR="0082461D">
        <w:t>pendling med eget fordon, inte koll</w:t>
      </w:r>
      <w:r w:rsidR="002336D2">
        <w:t>ektivtrafik</w:t>
      </w:r>
      <w:r w:rsidR="00F75023">
        <w:t xml:space="preserve">. </w:t>
      </w:r>
      <w:r w:rsidR="00766AEF">
        <w:t>Kollektivtrafikresandet</w:t>
      </w:r>
      <w:r w:rsidR="00F75023">
        <w:t xml:space="preserve"> </w:t>
      </w:r>
      <w:r w:rsidR="002336D2">
        <w:t>exkluderas för att minska risken för dubbelräkning med</w:t>
      </w:r>
      <w:r w:rsidR="00BF776F">
        <w:t xml:space="preserve"> vid beräkning av utsläpp från kollektivtrafiken. </w:t>
      </w:r>
    </w:p>
    <w:p w14:paraId="6FD6E1AE" w14:textId="77777777" w:rsidR="001951A9" w:rsidRPr="001951A9" w:rsidRDefault="001951A9" w:rsidP="001951A9">
      <w:pPr>
        <w:pStyle w:val="Rubrik4"/>
        <w:rPr>
          <w:i/>
        </w:rPr>
      </w:pPr>
      <w:r w:rsidRPr="001951A9">
        <w:t>Underlag och beräkningsmetod</w:t>
      </w:r>
    </w:p>
    <w:p w14:paraId="219CCC5F" w14:textId="77777777" w:rsidR="00531169" w:rsidRDefault="001951A9" w:rsidP="001951A9">
      <w:r>
        <w:t xml:space="preserve">Underlag tas fram </w:t>
      </w:r>
      <w:r w:rsidR="004D287D">
        <w:t>genom</w:t>
      </w:r>
      <w:r>
        <w:t xml:space="preserve"> resvaneundersökningar</w:t>
      </w:r>
      <w:r w:rsidR="004D287D">
        <w:t xml:space="preserve"> bland de anställda.</w:t>
      </w:r>
      <w:r>
        <w:t xml:space="preserve"> </w:t>
      </w:r>
      <w:r w:rsidR="00766AEF">
        <w:t xml:space="preserve">Sådana </w:t>
      </w:r>
      <w:r w:rsidR="00E16C43">
        <w:t xml:space="preserve">undersökningar </w:t>
      </w:r>
      <w:r w:rsidR="00766AEF">
        <w:t>har gjorts av ett antal regioner som underlag för satsningar på hållba</w:t>
      </w:r>
      <w:r w:rsidR="00BF2B77">
        <w:t>rt resande.</w:t>
      </w:r>
      <w:r w:rsidR="00E16C43">
        <w:t xml:space="preserve"> </w:t>
      </w:r>
      <w:r>
        <w:t xml:space="preserve">Beräkningsmetoden beror </w:t>
      </w:r>
      <w:r w:rsidR="00DA23F1">
        <w:t xml:space="preserve">därmed </w:t>
      </w:r>
      <w:r>
        <w:t>på vilket underlag som erhålls ur medarbetarundersökningen. Uppgift</w:t>
      </w:r>
      <w:r w:rsidR="00E857D5">
        <w:t xml:space="preserve">er som bör ingå i enkäten </w:t>
      </w:r>
      <w:r w:rsidR="00CE2B57">
        <w:t>är exempelvis:</w:t>
      </w:r>
    </w:p>
    <w:p w14:paraId="17590B3E" w14:textId="77777777" w:rsidR="00531169" w:rsidRDefault="00EC51F6" w:rsidP="00711C73">
      <w:pPr>
        <w:pStyle w:val="Liststycke"/>
        <w:numPr>
          <w:ilvl w:val="0"/>
          <w:numId w:val="6"/>
        </w:numPr>
      </w:pPr>
      <w:r>
        <w:t>Antal km</w:t>
      </w:r>
    </w:p>
    <w:p w14:paraId="4E10FBE0" w14:textId="77777777" w:rsidR="00531169" w:rsidRDefault="00CE2B57" w:rsidP="00711C73">
      <w:pPr>
        <w:pStyle w:val="Liststycke"/>
        <w:numPr>
          <w:ilvl w:val="0"/>
          <w:numId w:val="6"/>
        </w:numPr>
      </w:pPr>
      <w:r>
        <w:t>Transportmetod</w:t>
      </w:r>
    </w:p>
    <w:p w14:paraId="7C9B9C9C" w14:textId="77777777" w:rsidR="00317C93" w:rsidRDefault="00EC51F6" w:rsidP="001951A9">
      <w:pPr>
        <w:pStyle w:val="Liststycke"/>
        <w:numPr>
          <w:ilvl w:val="0"/>
          <w:numId w:val="6"/>
        </w:numPr>
      </w:pPr>
      <w:r>
        <w:t>O</w:t>
      </w:r>
      <w:r w:rsidR="00CE2B57">
        <w:t>m bilkörning</w:t>
      </w:r>
      <w:r>
        <w:t>, typ av bränsle</w:t>
      </w:r>
    </w:p>
    <w:p w14:paraId="78D3FD83" w14:textId="77777777" w:rsidR="001951A9" w:rsidRDefault="001951A9" w:rsidP="001951A9">
      <w:r>
        <w:t>Posten redovisas i scope 3.</w:t>
      </w:r>
    </w:p>
    <w:p w14:paraId="77B179B5" w14:textId="77777777" w:rsidR="006F0DA2" w:rsidRDefault="006F0DA2" w:rsidP="005215CC">
      <w:bookmarkStart w:id="63" w:name="_Toc92867341"/>
    </w:p>
    <w:p w14:paraId="6E96FCFA" w14:textId="77777777" w:rsidR="00015955" w:rsidRDefault="00015955" w:rsidP="00DF56D9">
      <w:pPr>
        <w:pStyle w:val="Rubrik3"/>
      </w:pPr>
      <w:bookmarkStart w:id="64" w:name="_Toc93482412"/>
      <w:bookmarkStart w:id="65" w:name="_Toc152920045"/>
      <w:r>
        <w:t>Tjänsteresor</w:t>
      </w:r>
      <w:bookmarkEnd w:id="63"/>
      <w:bookmarkEnd w:id="64"/>
      <w:bookmarkEnd w:id="65"/>
    </w:p>
    <w:p w14:paraId="3173F623" w14:textId="77777777" w:rsidR="00015955" w:rsidRDefault="00015955" w:rsidP="00015955">
      <w:pPr>
        <w:pStyle w:val="Rubrik4"/>
        <w:rPr>
          <w:i/>
        </w:rPr>
      </w:pPr>
      <w:r w:rsidRPr="00AD66B3">
        <w:t>Omfattning/avgränsningar</w:t>
      </w:r>
    </w:p>
    <w:p w14:paraId="48B6652C" w14:textId="77777777" w:rsidR="00015955" w:rsidRPr="0083467B" w:rsidRDefault="00015955" w:rsidP="00015955">
      <w:pPr>
        <w:rPr>
          <w:b/>
        </w:rPr>
      </w:pPr>
      <w:r>
        <w:t>I denna post ingår tjänsteresor med bil, flyg, tåg, taxi och hotellnätter.</w:t>
      </w:r>
    </w:p>
    <w:p w14:paraId="18541544" w14:textId="77777777" w:rsidR="00015955" w:rsidRDefault="00015955" w:rsidP="001675A2">
      <w:pPr>
        <w:pStyle w:val="Liststycke"/>
        <w:numPr>
          <w:ilvl w:val="0"/>
          <w:numId w:val="25"/>
        </w:numPr>
      </w:pPr>
      <w:r w:rsidRPr="001960D5">
        <w:rPr>
          <w:i/>
        </w:rPr>
        <w:t>Bil</w:t>
      </w:r>
      <w:r>
        <w:t>: Egenägda/leasade fordon</w:t>
      </w:r>
      <w:r w:rsidRPr="00C55623">
        <w:t>, hyrbilar och egen bil i tjänsten</w:t>
      </w:r>
      <w:r>
        <w:t xml:space="preserve"> bör ingå i posten. Även förmånsbilar som används i tjänsten bör ingå.</w:t>
      </w:r>
    </w:p>
    <w:p w14:paraId="6CC081BB" w14:textId="77777777" w:rsidR="00015955" w:rsidRDefault="00015955" w:rsidP="001675A2">
      <w:pPr>
        <w:pStyle w:val="Liststycke"/>
        <w:numPr>
          <w:ilvl w:val="0"/>
          <w:numId w:val="25"/>
        </w:numPr>
      </w:pPr>
      <w:r w:rsidRPr="001960D5">
        <w:rPr>
          <w:i/>
        </w:rPr>
        <w:t>Flyg</w:t>
      </w:r>
      <w:r>
        <w:t>: In- och utrikes flygresor i tjänsten.</w:t>
      </w:r>
    </w:p>
    <w:p w14:paraId="303DCD55" w14:textId="77777777" w:rsidR="00015955" w:rsidRDefault="00015955" w:rsidP="001675A2">
      <w:pPr>
        <w:pStyle w:val="Liststycke"/>
        <w:numPr>
          <w:ilvl w:val="0"/>
          <w:numId w:val="25"/>
        </w:numPr>
      </w:pPr>
      <w:r w:rsidRPr="001960D5">
        <w:rPr>
          <w:i/>
        </w:rPr>
        <w:t>Övrigt</w:t>
      </w:r>
      <w:r>
        <w:t>: Tåg-, taxi- och långfärdsbuss samt hotellnätter.</w:t>
      </w:r>
    </w:p>
    <w:p w14:paraId="4DFB0D05" w14:textId="77777777" w:rsidR="00015955" w:rsidRDefault="00015955" w:rsidP="00015955">
      <w:r>
        <w:t xml:space="preserve">Regionen bör även, om så är möjligt, inkludera resor som inte bokas via resebyrå. </w:t>
      </w:r>
    </w:p>
    <w:p w14:paraId="332F5C2C" w14:textId="77777777" w:rsidR="00015955" w:rsidRPr="00BB7C6C" w:rsidRDefault="001C31A7" w:rsidP="00015955">
      <w:r>
        <w:t>R</w:t>
      </w:r>
      <w:r w:rsidR="00015955">
        <w:t>esor från den allmänna kollektivtrafiken ska exkluderas för att undvika dubbelräkning gentemot posten ”Kollektivtrafik”.</w:t>
      </w:r>
    </w:p>
    <w:p w14:paraId="3AEFD848" w14:textId="77777777" w:rsidR="00015955" w:rsidRDefault="00015955" w:rsidP="00015955">
      <w:pPr>
        <w:pStyle w:val="Rubrik4"/>
      </w:pPr>
      <w:r w:rsidRPr="00AD66B3">
        <w:t>Underlag och beräkningsmetod</w:t>
      </w:r>
    </w:p>
    <w:p w14:paraId="1E4902E6" w14:textId="77777777" w:rsidR="00015955" w:rsidRDefault="00015955" w:rsidP="00015955">
      <w:r w:rsidRPr="002C078D">
        <w:rPr>
          <w:bCs/>
          <w:i/>
          <w:iCs/>
        </w:rPr>
        <w:t>Bil</w:t>
      </w:r>
      <w:r>
        <w:t xml:space="preserve">: I första hand bör förbrukade bränslemängder användas för beräkningarna. I andra hand kan körd sträcka tillsammans med schablonuppgift om bränsleförbrukning per körd sträcka användas. </w:t>
      </w:r>
    </w:p>
    <w:p w14:paraId="7200E2A1" w14:textId="77777777" w:rsidR="00015955" w:rsidRDefault="00015955" w:rsidP="00015955">
      <w:r w:rsidRPr="00D83164">
        <w:rPr>
          <w:i/>
        </w:rPr>
        <w:t>Egenägda</w:t>
      </w:r>
      <w:r>
        <w:rPr>
          <w:i/>
        </w:rPr>
        <w:t xml:space="preserve"> och </w:t>
      </w:r>
      <w:r w:rsidRPr="00D83164">
        <w:rPr>
          <w:i/>
        </w:rPr>
        <w:t>leasade fordon</w:t>
      </w:r>
      <w:r>
        <w:t xml:space="preserve">: Om använda bränslemängder finns används dessa i kombination med utsläppsfaktorer för respektive bränsle. Om körsträckor per fordon används som underlag används schablonvärden för utsläpp per körd km. De </w:t>
      </w:r>
      <w:r w:rsidRPr="003A1650">
        <w:t xml:space="preserve">direkta utsläppen </w:t>
      </w:r>
      <w:r>
        <w:t xml:space="preserve">redovisas </w:t>
      </w:r>
      <w:r w:rsidRPr="003A1650">
        <w:t xml:space="preserve">i scope 1 </w:t>
      </w:r>
      <w:r>
        <w:t xml:space="preserve">övriga indirekta utsläpp </w:t>
      </w:r>
      <w:r w:rsidRPr="003A1650">
        <w:t>redovisas i scope 3</w:t>
      </w:r>
      <w:r w:rsidRPr="00A4371D">
        <w:t>.</w:t>
      </w:r>
    </w:p>
    <w:p w14:paraId="270339B8" w14:textId="77777777" w:rsidR="00015955" w:rsidRPr="00FE41CF" w:rsidRDefault="00015955" w:rsidP="00015955">
      <w:r w:rsidRPr="00254332">
        <w:rPr>
          <w:i/>
        </w:rPr>
        <w:t>Hyrbilar</w:t>
      </w:r>
      <w:r>
        <w:t xml:space="preserve">: Regionen </w:t>
      </w:r>
      <w:r w:rsidR="00D63AA6">
        <w:t>bör</w:t>
      </w:r>
      <w:r>
        <w:t xml:space="preserve"> efterfråga utsläppsstatistik från leverantören. Med fördel säkerställs tillgång till statistik redan i upphandlingen. Även i detta fall bör utsläppsberäkningarna i första hand bygga på bränsleanvändning och i andra hand på körsträckor. De </w:t>
      </w:r>
      <w:r w:rsidRPr="003A1650">
        <w:t xml:space="preserve">direkta utsläppen </w:t>
      </w:r>
      <w:r>
        <w:t xml:space="preserve">redovisas </w:t>
      </w:r>
      <w:r w:rsidRPr="003A1650">
        <w:t xml:space="preserve">i scope 1 </w:t>
      </w:r>
      <w:r>
        <w:t xml:space="preserve">övriga indirekta utsläpp </w:t>
      </w:r>
      <w:r w:rsidRPr="003A1650">
        <w:t>redovisas i scope 3</w:t>
      </w:r>
      <w:r w:rsidRPr="00A4371D">
        <w:t>.</w:t>
      </w:r>
    </w:p>
    <w:p w14:paraId="41CA0BCE" w14:textId="77777777" w:rsidR="00015955" w:rsidRDefault="00C45817" w:rsidP="00015955">
      <w:r>
        <w:rPr>
          <w:i/>
        </w:rPr>
        <w:t>Privat</w:t>
      </w:r>
      <w:r w:rsidR="00015955" w:rsidRPr="00254332">
        <w:rPr>
          <w:i/>
        </w:rPr>
        <w:t xml:space="preserve"> bil i tjänsten</w:t>
      </w:r>
      <w:r w:rsidR="00015955">
        <w:rPr>
          <w:i/>
        </w:rPr>
        <w:t xml:space="preserve"> och förmånsbilar</w:t>
      </w:r>
      <w:r w:rsidR="00015955">
        <w:t xml:space="preserve">: Körsträckor erhålls ur lönesystemet eller annat underlag för utbetalning av ersättning. </w:t>
      </w:r>
      <w:r w:rsidR="00DF00E0">
        <w:t xml:space="preserve">Genomsnittligt utsläpp för samtliga fordon som finns registrerade i viss kommun användas som schablonvärde. </w:t>
      </w:r>
      <w:r w:rsidR="00015955">
        <w:t xml:space="preserve"> Den statistiken </w:t>
      </w:r>
      <w:r w:rsidR="00015955" w:rsidRPr="002C078D">
        <w:t xml:space="preserve">finns </w:t>
      </w:r>
      <w:hyperlink r:id="rId36" w:history="1">
        <w:r w:rsidR="00910DD1" w:rsidRPr="002C078D">
          <w:rPr>
            <w:rStyle w:val="Hyperlnk"/>
          </w:rPr>
          <w:t>i Miljöbarometern</w:t>
        </w:r>
      </w:hyperlink>
      <w:r w:rsidR="00015955" w:rsidRPr="002C078D">
        <w:t>. Notera</w:t>
      </w:r>
      <w:r w:rsidR="00015955">
        <w:t xml:space="preserve"> att färdig statistik inte finns per län utan den kommun där de flesta anställda bedöms vara bosatta kan välja som schablonvärde. </w:t>
      </w:r>
      <w:r w:rsidR="00DF00E0">
        <w:t xml:space="preserve">Vissa regioner har infört </w:t>
      </w:r>
      <w:r w:rsidR="0036564D">
        <w:t>en</w:t>
      </w:r>
      <w:r w:rsidR="00DF00E0">
        <w:t xml:space="preserve"> rutin att använt bränsle anges i samband med ansökan om ersättning för egen bil i tjänsten. </w:t>
      </w:r>
      <w:r w:rsidR="00015955">
        <w:t xml:space="preserve">De </w:t>
      </w:r>
      <w:r w:rsidR="00015955" w:rsidRPr="003A1650">
        <w:t xml:space="preserve">direkta utsläppen </w:t>
      </w:r>
      <w:r w:rsidR="00015955">
        <w:t xml:space="preserve">redovisas </w:t>
      </w:r>
      <w:r w:rsidR="00015955" w:rsidRPr="003A1650">
        <w:t xml:space="preserve">i scope 1 </w:t>
      </w:r>
      <w:r w:rsidR="00015955">
        <w:t xml:space="preserve">övriga indirekta utsläpp </w:t>
      </w:r>
      <w:r w:rsidR="00015955" w:rsidRPr="003A1650">
        <w:t>redovisas i scope 3</w:t>
      </w:r>
      <w:r w:rsidR="00015955" w:rsidRPr="00A4371D">
        <w:t>.</w:t>
      </w:r>
    </w:p>
    <w:p w14:paraId="7F33AE01" w14:textId="77777777" w:rsidR="00015955" w:rsidRDefault="00015955" w:rsidP="00015955">
      <w:r w:rsidRPr="00071B6E">
        <w:rPr>
          <w:i/>
        </w:rPr>
        <w:t>Flyg</w:t>
      </w:r>
      <w:r>
        <w:t>: Utsläppstatistik kan normalt erhållas från anlitad resebyrå. Regionen behöver säkerställ att höghöjdseffekt inräknas av resebyrån.</w:t>
      </w:r>
      <w:r w:rsidRPr="00D83164">
        <w:t xml:space="preserve"> </w:t>
      </w:r>
      <w:r>
        <w:t>Resultatet redovisas i scope 3.</w:t>
      </w:r>
    </w:p>
    <w:p w14:paraId="7CA76A33" w14:textId="77777777" w:rsidR="00FF11F4" w:rsidRDefault="00015955" w:rsidP="00015955">
      <w:r w:rsidRPr="00071B6E">
        <w:rPr>
          <w:i/>
        </w:rPr>
        <w:t>Övrigt</w:t>
      </w:r>
      <w:r>
        <w:t xml:space="preserve">: Utsläppsstatistik för tåg-, taxi- och långfärdsbuss erhålls normalt från anlitad resebyrå. Regionen bör även efterfråga antal hotellnätter och </w:t>
      </w:r>
      <w:r w:rsidR="008A08B3">
        <w:t xml:space="preserve">om </w:t>
      </w:r>
      <w:r>
        <w:t>omöjligt få statistiken uppdelad per land. Resultatet för tåg-, taxi- och långfärdsbuss och hotellnätter redovisas i scope 3.</w:t>
      </w:r>
      <w:r>
        <w:tab/>
      </w:r>
    </w:p>
    <w:p w14:paraId="3DA220E3" w14:textId="4856EB0F" w:rsidR="00301573" w:rsidRDefault="00301573">
      <w:pPr>
        <w:spacing w:line="259" w:lineRule="auto"/>
      </w:pPr>
      <w:r>
        <w:br w:type="page"/>
      </w:r>
    </w:p>
    <w:p w14:paraId="0FD46FC5" w14:textId="77777777" w:rsidR="00E14ED5" w:rsidRDefault="00DD2218" w:rsidP="008A70A4">
      <w:pPr>
        <w:pStyle w:val="Rubrik2"/>
      </w:pPr>
      <w:bookmarkStart w:id="66" w:name="_Toc152920046"/>
      <w:r>
        <w:t xml:space="preserve">3. </w:t>
      </w:r>
      <w:r w:rsidR="00E14ED5" w:rsidRPr="002B7BAC">
        <w:t>Inköp</w:t>
      </w:r>
      <w:r w:rsidR="000815DC">
        <w:t xml:space="preserve"> och </w:t>
      </w:r>
      <w:r w:rsidR="00D204A1">
        <w:t>resursanvändning</w:t>
      </w:r>
      <w:bookmarkEnd w:id="66"/>
    </w:p>
    <w:p w14:paraId="63D0A118" w14:textId="77777777" w:rsidR="008D43F2" w:rsidRDefault="008D43F2" w:rsidP="00794AEB">
      <w:bookmarkStart w:id="67" w:name="_Hlk92978710"/>
      <w:r>
        <w:t xml:space="preserve">Att beräkna klimatpåverkan från inköp är idag i huvudsak en mer avancerad nivå på klimatredovisning. </w:t>
      </w:r>
      <w:r w:rsidR="00730362">
        <w:t xml:space="preserve">Eftersom klimatpåverkan </w:t>
      </w:r>
      <w:r w:rsidR="002E316F">
        <w:t>bedöms vara avsevärd finns det dock ett stort intresse bland re</w:t>
      </w:r>
      <w:r w:rsidR="0055559A">
        <w:t xml:space="preserve">gionerna. Dessutom </w:t>
      </w:r>
      <w:r w:rsidR="00773B0E">
        <w:t xml:space="preserve">finns det i många fall möjlighet till åtgärder för att minska denna påverkan, exempelvis genom utbyte och/eller ändrad användning av produkter. </w:t>
      </w:r>
    </w:p>
    <w:p w14:paraId="55C10F54" w14:textId="77777777" w:rsidR="005319F1" w:rsidRDefault="005319F1" w:rsidP="00794AEB">
      <w:r w:rsidRPr="00C50EFC">
        <w:t xml:space="preserve">För vissa produkter och tjänster </w:t>
      </w:r>
      <w:r>
        <w:t>finns det ofta</w:t>
      </w:r>
      <w:r w:rsidRPr="00C50EFC">
        <w:t xml:space="preserve"> uppgifter om volymer </w:t>
      </w:r>
      <w:r>
        <w:t xml:space="preserve">som kan översättas till </w:t>
      </w:r>
      <w:r w:rsidRPr="00C50EFC">
        <w:t>utsläpp</w:t>
      </w:r>
      <w:r>
        <w:t xml:space="preserve">, </w:t>
      </w:r>
      <w:r w:rsidR="00773B0E">
        <w:t xml:space="preserve">till exempel </w:t>
      </w:r>
      <w:r>
        <w:t>för medicinska gaser</w:t>
      </w:r>
      <w:r w:rsidR="008D43F2">
        <w:t>, livsmedel</w:t>
      </w:r>
      <w:r w:rsidR="004410BB">
        <w:t>,</w:t>
      </w:r>
      <w:r>
        <w:t xml:space="preserve"> tvätteritjänster</w:t>
      </w:r>
      <w:r w:rsidR="004410BB">
        <w:t xml:space="preserve"> och avfall</w:t>
      </w:r>
      <w:r w:rsidRPr="00C50EFC">
        <w:t xml:space="preserve">. </w:t>
      </w:r>
    </w:p>
    <w:p w14:paraId="6A75DBC9" w14:textId="6E3F11FA" w:rsidR="005319F1" w:rsidRDefault="00794AEB" w:rsidP="00794AEB">
      <w:r>
        <w:t xml:space="preserve">För beräkning av utsläpp från inköp och resursförbrukning kan regionen använda sig av </w:t>
      </w:r>
      <w:r w:rsidRPr="002C078D">
        <w:t>kostnads</w:t>
      </w:r>
      <w:r w:rsidR="00041A63" w:rsidRPr="002C078D">
        <w:t>uppgifter</w:t>
      </w:r>
      <w:r>
        <w:t>, det vill säga beräkna utsläppen utifrån spenderad summa</w:t>
      </w:r>
      <w:r w:rsidR="008A5C5F">
        <w:t xml:space="preserve"> (SEK)</w:t>
      </w:r>
      <w:r w:rsidR="002431A0">
        <w:t>.</w:t>
      </w:r>
      <w:r w:rsidR="00C50EFC">
        <w:t xml:space="preserve"> </w:t>
      </w:r>
      <w:r w:rsidR="00041A63" w:rsidRPr="00C50EFC">
        <w:t xml:space="preserve">Som </w:t>
      </w:r>
      <w:r w:rsidR="00041A63" w:rsidRPr="00E63AE8">
        <w:t>huvudprincip använder verktyget</w:t>
      </w:r>
      <w:r w:rsidR="002B7CFB" w:rsidRPr="00E63AE8">
        <w:t xml:space="preserve"> sådana</w:t>
      </w:r>
      <w:r w:rsidR="00041A63" w:rsidRPr="00E63AE8">
        <w:t xml:space="preserve"> kostnadsuppgifter, utifrån den indelning som finns i </w:t>
      </w:r>
      <w:hyperlink r:id="rId37" w:history="1">
        <w:r w:rsidR="009E5CCC" w:rsidRPr="00E63AE8">
          <w:rPr>
            <w:rStyle w:val="Hyperlnk"/>
          </w:rPr>
          <w:t>LfU:s kategoriträd</w:t>
        </w:r>
      </w:hyperlink>
      <w:r w:rsidR="009E5CCC" w:rsidRPr="00E63AE8">
        <w:t>,</w:t>
      </w:r>
      <w:r w:rsidR="00041A63" w:rsidRPr="00E63AE8">
        <w:t xml:space="preserve"> i regionernas</w:t>
      </w:r>
      <w:r w:rsidR="00041A63" w:rsidRPr="00C50EFC">
        <w:t xml:space="preserve"> samarbete kring inköp. Dessa kombineras i verktyget med utsläppsdata </w:t>
      </w:r>
      <w:r w:rsidR="00275CA6">
        <w:t xml:space="preserve">för respektive </w:t>
      </w:r>
      <w:r w:rsidR="00866205">
        <w:t xml:space="preserve">kategori, vilken är baserad på </w:t>
      </w:r>
      <w:r w:rsidR="00AA3D6E">
        <w:t>ett arbete kring miljöspendanalys</w:t>
      </w:r>
      <w:r w:rsidR="00866205">
        <w:t xml:space="preserve"> </w:t>
      </w:r>
      <w:r w:rsidR="00AA3D6E">
        <w:t>för Region Stockholm</w:t>
      </w:r>
      <w:r w:rsidR="00C82ED1">
        <w:t xml:space="preserve"> och verksamhetsår 2021</w:t>
      </w:r>
      <w:r w:rsidR="00AA3D6E">
        <w:t xml:space="preserve"> </w:t>
      </w:r>
      <w:r w:rsidR="00866205">
        <w:t xml:space="preserve">som </w:t>
      </w:r>
      <w:r w:rsidR="006E7F1D">
        <w:t>konsultbyrån MIljögiraff</w:t>
      </w:r>
      <w:r w:rsidR="00866205">
        <w:t xml:space="preserve"> har genomfört på uppdrag av Region Stockholm.</w:t>
      </w:r>
      <w:r w:rsidR="00041A63" w:rsidRPr="00C50EFC">
        <w:t xml:space="preserve"> </w:t>
      </w:r>
      <w:r w:rsidR="005319F1">
        <w:t xml:space="preserve">Verktyget bör därmed starkt kunna </w:t>
      </w:r>
      <w:r w:rsidR="00295818">
        <w:t>underlätta redovisning</w:t>
      </w:r>
      <w:r w:rsidR="002B7CFB">
        <w:t>en på området</w:t>
      </w:r>
      <w:r w:rsidR="00295818">
        <w:t xml:space="preserve">. </w:t>
      </w:r>
      <w:r w:rsidR="000C3ACF">
        <w:t xml:space="preserve">De emissionsfaktorer som används, </w:t>
      </w:r>
      <w:r w:rsidR="00551E6C">
        <w:t>och är framtagna inom ramen för ovan nämnd miljöspendanalys, justeras årligen för att ta hänsyn till både generell inflationstakt</w:t>
      </w:r>
      <w:r w:rsidR="00CC12E1">
        <w:t xml:space="preserve"> samt valutaförändringar</w:t>
      </w:r>
      <w:r w:rsidR="00821B96" w:rsidRPr="00034E78">
        <w:t xml:space="preserve"> (Se tabell nedan för uppdaterade värden)</w:t>
      </w:r>
      <w:r w:rsidR="00054779">
        <w:t xml:space="preserve">. </w:t>
      </w:r>
      <w:r w:rsidR="00821B96" w:rsidRPr="00034E78">
        <w:t>Utsläppsfaktorena i modellen kommer i huvudsak från internationell databas</w:t>
      </w:r>
      <w:r w:rsidR="00821B96">
        <w:t>, Exiobase</w:t>
      </w:r>
      <w:r w:rsidR="00054779">
        <w:t xml:space="preserve"> </w:t>
      </w:r>
      <w:r w:rsidR="001029C3">
        <w:t>med underlag från 2011</w:t>
      </w:r>
      <w:r w:rsidR="00821B96" w:rsidRPr="00034E78">
        <w:t xml:space="preserve">. </w:t>
      </w:r>
      <w:r w:rsidR="00352100">
        <w:t xml:space="preserve">Justeringen </w:t>
      </w:r>
      <w:r w:rsidR="00054779">
        <w:t xml:space="preserve">för inflation och valutaförändring </w:t>
      </w:r>
      <w:r w:rsidR="00352100">
        <w:t>genomförs enligt formel nedan</w:t>
      </w:r>
    </w:p>
    <w:p w14:paraId="0A98DF30" w14:textId="3138E02A" w:rsidR="00863B3E" w:rsidRPr="009F6E60" w:rsidRDefault="009F6E60" w:rsidP="00794AEB">
      <w:pPr>
        <w:rPr>
          <w:rFonts w:eastAsiaTheme="minorEastAsia"/>
        </w:rPr>
      </w:pPr>
      <m:oMathPara>
        <m:oMath>
          <m:r>
            <w:rPr>
              <w:rFonts w:ascii="Cambria Math" w:hAnsi="Cambria Math"/>
            </w:rPr>
            <m:t>Utsläppsfaktor per SE</m:t>
          </m:r>
          <m:sSub>
            <m:sSubPr>
              <m:ctrlPr>
                <w:rPr>
                  <w:rFonts w:ascii="Cambria Math" w:hAnsi="Cambria Math"/>
                  <w:i/>
                </w:rPr>
              </m:ctrlPr>
            </m:sSubPr>
            <m:e>
              <m:r>
                <w:rPr>
                  <w:rFonts w:ascii="Cambria Math" w:hAnsi="Cambria Math"/>
                </w:rPr>
                <m:t>K</m:t>
              </m:r>
            </m:e>
            <m:sub>
              <m:r>
                <w:rPr>
                  <w:rFonts w:ascii="Cambria Math" w:hAnsi="Cambria Math"/>
                </w:rPr>
                <m:t>År</m:t>
              </m:r>
            </m:sub>
          </m:sSub>
          <m:r>
            <w:rPr>
              <w:rFonts w:ascii="Cambria Math" w:hAnsi="Cambria Math"/>
            </w:rPr>
            <m:t>=</m:t>
          </m:r>
          <w:commentRangeStart w:id="68"/>
          <m:f>
            <m:fPr>
              <m:ctrlPr>
                <w:rPr>
                  <w:rFonts w:ascii="Cambria Math" w:hAnsi="Cambria Math"/>
                  <w:i/>
                </w:rPr>
              </m:ctrlPr>
            </m:fPr>
            <m:num>
              <m:r>
                <w:rPr>
                  <w:rFonts w:ascii="Cambria Math" w:hAnsi="Cambria Math"/>
                </w:rPr>
                <m:t xml:space="preserve">Utsläppsfaktor per </m:t>
              </m:r>
              <m:sSub>
                <m:sSubPr>
                  <m:ctrlPr>
                    <w:rPr>
                      <w:rFonts w:ascii="Cambria Math" w:hAnsi="Cambria Math"/>
                      <w:i/>
                    </w:rPr>
                  </m:ctrlPr>
                </m:sSubPr>
                <m:e>
                  <m:r>
                    <w:rPr>
                      <w:rFonts w:ascii="Cambria Math" w:hAnsi="Cambria Math"/>
                    </w:rPr>
                    <m:t>EURO</m:t>
                  </m:r>
                </m:e>
                <m:sub>
                  <m:r>
                    <w:rPr>
                      <w:rFonts w:ascii="Cambria Math" w:hAnsi="Cambria Math"/>
                    </w:rPr>
                    <m:t>2011</m:t>
                  </m:r>
                </m:sub>
              </m:sSub>
            </m:num>
            <m:den>
              <m:r>
                <w:rPr>
                  <w:rFonts w:ascii="Cambria Math" w:hAnsi="Cambria Math"/>
                </w:rPr>
                <m:t>Konverteringsfaktor</m:t>
              </m:r>
            </m:den>
          </m:f>
          <w:commentRangeEnd w:id="68"/>
          <m:r>
            <m:rPr>
              <m:sty m:val="p"/>
            </m:rPr>
            <w:rPr>
              <w:rStyle w:val="Kommentarsreferens"/>
            </w:rPr>
            <w:commentReference w:id="68"/>
          </m:r>
        </m:oMath>
      </m:oMathPara>
    </w:p>
    <w:p w14:paraId="01C5E69F" w14:textId="4AF196F4" w:rsidR="009F6E60" w:rsidRDefault="00532F5D" w:rsidP="00794AEB">
      <w:pPr>
        <w:rPr>
          <w:rFonts w:eastAsiaTheme="minorEastAsia"/>
        </w:rPr>
      </w:pPr>
      <w:r>
        <w:rPr>
          <w:rFonts w:eastAsiaTheme="minorEastAsia"/>
        </w:rPr>
        <w:t>D</w:t>
      </w:r>
      <w:r w:rsidR="009F6E60">
        <w:rPr>
          <w:rFonts w:eastAsiaTheme="minorEastAsia"/>
        </w:rPr>
        <w:t>är</w:t>
      </w:r>
      <w:r>
        <w:rPr>
          <w:rFonts w:eastAsiaTheme="minorEastAsia"/>
        </w:rPr>
        <w:t xml:space="preserve"> </w:t>
      </w:r>
      <m:oMath>
        <m:r>
          <w:rPr>
            <w:rFonts w:ascii="Cambria Math" w:hAnsi="Cambria Math"/>
          </w:rPr>
          <m:t>Utsläppsfaktor per SE</m:t>
        </m:r>
        <m:sSub>
          <m:sSubPr>
            <m:ctrlPr>
              <w:rPr>
                <w:rFonts w:ascii="Cambria Math" w:hAnsi="Cambria Math"/>
                <w:i/>
              </w:rPr>
            </m:ctrlPr>
          </m:sSubPr>
          <m:e>
            <m:r>
              <w:rPr>
                <w:rFonts w:ascii="Cambria Math" w:hAnsi="Cambria Math"/>
              </w:rPr>
              <m:t>K</m:t>
            </m:r>
          </m:e>
          <m:sub>
            <m:r>
              <w:rPr>
                <w:rFonts w:ascii="Cambria Math" w:hAnsi="Cambria Math"/>
              </w:rPr>
              <m:t>År</m:t>
            </m:r>
          </m:sub>
        </m:sSub>
      </m:oMath>
      <w:r>
        <w:rPr>
          <w:rFonts w:eastAsiaTheme="minorEastAsia"/>
        </w:rPr>
        <w:t xml:space="preserve"> är utsläppsfaktorn </w:t>
      </w:r>
      <w:r w:rsidR="00AB2E05">
        <w:rPr>
          <w:rFonts w:eastAsiaTheme="minorEastAsia"/>
        </w:rPr>
        <w:t>per SEK under det år för vilken faktorn tas fram</w:t>
      </w:r>
      <w:r w:rsidR="00AE7F00">
        <w:rPr>
          <w:rFonts w:eastAsiaTheme="minorEastAsia"/>
        </w:rPr>
        <w:t xml:space="preserve">, </w:t>
      </w:r>
      <m:oMath>
        <m:r>
          <w:rPr>
            <w:rFonts w:ascii="Cambria Math" w:hAnsi="Cambria Math"/>
          </w:rPr>
          <m:t xml:space="preserve">Utsläppsfaktor per </m:t>
        </m:r>
        <m:sSub>
          <m:sSubPr>
            <m:ctrlPr>
              <w:rPr>
                <w:rFonts w:ascii="Cambria Math" w:hAnsi="Cambria Math"/>
                <w:i/>
              </w:rPr>
            </m:ctrlPr>
          </m:sSubPr>
          <m:e>
            <m:r>
              <w:rPr>
                <w:rFonts w:ascii="Cambria Math" w:hAnsi="Cambria Math"/>
              </w:rPr>
              <m:t>EURO</m:t>
            </m:r>
          </m:e>
          <m:sub>
            <m:r>
              <w:rPr>
                <w:rFonts w:ascii="Cambria Math" w:hAnsi="Cambria Math"/>
              </w:rPr>
              <m:t>2011</m:t>
            </m:r>
          </m:sub>
        </m:sSub>
      </m:oMath>
      <w:r w:rsidR="001029C3">
        <w:rPr>
          <w:rFonts w:eastAsiaTheme="minorEastAsia"/>
        </w:rPr>
        <w:t xml:space="preserve"> är den utsläppsfaktorn som </w:t>
      </w:r>
      <w:r w:rsidR="0090178B">
        <w:rPr>
          <w:rFonts w:eastAsiaTheme="minorEastAsia"/>
        </w:rPr>
        <w:t>är framtagen från Exiobase</w:t>
      </w:r>
      <w:r w:rsidR="00994CA3">
        <w:rPr>
          <w:rFonts w:eastAsiaTheme="minorEastAsia"/>
        </w:rPr>
        <w:t xml:space="preserve"> inom ramen för ovan nämnd miljöspendanalys. Koverteringsfaktorn räknas ut via formeln nedan</w:t>
      </w:r>
    </w:p>
    <w:p w14:paraId="36908E08" w14:textId="394F9CAC" w:rsidR="00994CA3" w:rsidRPr="00D17724" w:rsidRDefault="00994CA3" w:rsidP="00794AEB">
      <w:pPr>
        <w:rPr>
          <w:rFonts w:eastAsiaTheme="minorEastAsia"/>
        </w:rPr>
      </w:pPr>
      <m:oMathPara>
        <m:oMath>
          <m:r>
            <w:rPr>
              <w:rFonts w:ascii="Cambria Math" w:eastAsiaTheme="minorEastAsia" w:hAnsi="Cambria Math"/>
            </w:rPr>
            <m:t>Konverteringsfaktor=Inflationstak</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2011 till År</m:t>
              </m:r>
            </m:sub>
          </m:sSub>
          <m:r>
            <w:rPr>
              <w:rFonts w:ascii="Cambria Math" w:eastAsiaTheme="minorEastAsia" w:hAnsi="Cambria Math"/>
            </w:rPr>
            <m:t xml:space="preserve">*Valutakurs SEK till </m:t>
          </m:r>
          <m:sSub>
            <m:sSubPr>
              <m:ctrlPr>
                <w:rPr>
                  <w:rFonts w:ascii="Cambria Math" w:eastAsiaTheme="minorEastAsia" w:hAnsi="Cambria Math"/>
                  <w:i/>
                </w:rPr>
              </m:ctrlPr>
            </m:sSubPr>
            <m:e>
              <m:r>
                <w:rPr>
                  <w:rFonts w:ascii="Cambria Math" w:eastAsiaTheme="minorEastAsia" w:hAnsi="Cambria Math"/>
                </w:rPr>
                <m:t>EURO</m:t>
              </m:r>
            </m:e>
            <m:sub>
              <m:r>
                <w:rPr>
                  <w:rFonts w:ascii="Cambria Math" w:eastAsiaTheme="minorEastAsia" w:hAnsi="Cambria Math"/>
                </w:rPr>
                <m:t>År</m:t>
              </m:r>
            </m:sub>
          </m:sSub>
        </m:oMath>
      </m:oMathPara>
    </w:p>
    <w:p w14:paraId="433520C0" w14:textId="21D78923" w:rsidR="00D17724" w:rsidRDefault="00D17724" w:rsidP="00794AEB">
      <w:pPr>
        <w:rPr>
          <w:rFonts w:ascii="Cambria Math" w:eastAsiaTheme="minorEastAsia" w:hAnsi="Cambria Math"/>
        </w:rPr>
      </w:pPr>
      <w:r>
        <w:rPr>
          <w:rFonts w:eastAsiaTheme="minorEastAsia"/>
        </w:rPr>
        <w:t>Där</w:t>
      </w:r>
      <w:r w:rsidRPr="00D17724">
        <w:rPr>
          <w:rFonts w:ascii="Cambria Math" w:eastAsiaTheme="minorEastAsia" w:hAnsi="Cambria Math"/>
          <w:i/>
        </w:rPr>
        <w:t xml:space="preserve"> </w:t>
      </w:r>
      <m:oMath>
        <m:r>
          <w:rPr>
            <w:rFonts w:ascii="Cambria Math" w:eastAsiaTheme="minorEastAsia" w:hAnsi="Cambria Math"/>
          </w:rPr>
          <m:t>Inflationstak</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2011 till År</m:t>
            </m:r>
          </m:sub>
        </m:sSub>
      </m:oMath>
      <w:r w:rsidRPr="00D373E2">
        <w:t xml:space="preserve"> är </w:t>
      </w:r>
      <w:r w:rsidR="0083310A" w:rsidRPr="00D373E2">
        <w:t xml:space="preserve">inflationstakten för EU (27 länder) under 2011 till </w:t>
      </w:r>
      <w:r w:rsidR="0053195A" w:rsidRPr="00D373E2">
        <w:t xml:space="preserve">och med året för </w:t>
      </w:r>
      <w:r w:rsidR="00420925" w:rsidRPr="00D373E2">
        <w:t>vilken faktorn tas fram, angiven i procent och hämta</w:t>
      </w:r>
      <w:r w:rsidR="00CF0B46" w:rsidRPr="00D373E2">
        <w:t>d</w:t>
      </w:r>
      <w:r w:rsidR="00420925" w:rsidRPr="00D373E2">
        <w:t xml:space="preserve"> från statistik från Eurostat</w:t>
      </w:r>
      <w:r w:rsidR="00B85938">
        <w:rPr>
          <w:rFonts w:ascii="Cambria Math" w:eastAsiaTheme="minorEastAsia" w:hAnsi="Cambria Math"/>
          <w:iCs/>
        </w:rPr>
        <w:t xml:space="preserve">. </w:t>
      </w:r>
      <m:oMath>
        <m:r>
          <w:rPr>
            <w:rFonts w:ascii="Cambria Math" w:eastAsiaTheme="minorEastAsia" w:hAnsi="Cambria Math"/>
          </w:rPr>
          <m:t xml:space="preserve">Valutakurs SEK till </m:t>
        </m:r>
        <m:sSub>
          <m:sSubPr>
            <m:ctrlPr>
              <w:rPr>
                <w:rFonts w:ascii="Cambria Math" w:eastAsiaTheme="minorEastAsia" w:hAnsi="Cambria Math"/>
                <w:i/>
              </w:rPr>
            </m:ctrlPr>
          </m:sSubPr>
          <m:e>
            <m:r>
              <w:rPr>
                <w:rFonts w:ascii="Cambria Math" w:eastAsiaTheme="minorEastAsia" w:hAnsi="Cambria Math"/>
              </w:rPr>
              <m:t>EURO</m:t>
            </m:r>
          </m:e>
          <m:sub>
            <m:r>
              <w:rPr>
                <w:rFonts w:ascii="Cambria Math" w:eastAsiaTheme="minorEastAsia" w:hAnsi="Cambria Math"/>
              </w:rPr>
              <m:t>År</m:t>
            </m:r>
          </m:sub>
        </m:sSub>
      </m:oMath>
      <w:r w:rsidR="00D81EE4">
        <w:rPr>
          <w:rFonts w:ascii="Cambria Math" w:eastAsiaTheme="minorEastAsia" w:hAnsi="Cambria Math"/>
        </w:rPr>
        <w:t xml:space="preserve"> </w:t>
      </w:r>
      <w:r w:rsidR="00D81EE4" w:rsidRPr="00D373E2">
        <w:t xml:space="preserve">är den valutakurs som </w:t>
      </w:r>
      <w:r w:rsidR="00C46909" w:rsidRPr="00D373E2">
        <w:t>finns för året för vilken faktorn tas fram (medelvärde över år), hämtad från Riksbanken.</w:t>
      </w:r>
    </w:p>
    <w:p w14:paraId="05C78EC0" w14:textId="57052CCF" w:rsidR="00C46909" w:rsidRPr="00D17724" w:rsidRDefault="00C46909" w:rsidP="00794AEB">
      <w:pPr>
        <w:rPr>
          <w:rFonts w:eastAsiaTheme="minorEastAsia"/>
          <w:iCs/>
        </w:rPr>
      </w:pPr>
      <w:r>
        <w:rPr>
          <w:rFonts w:ascii="Cambria Math" w:eastAsiaTheme="minorEastAsia" w:hAnsi="Cambria Math"/>
        </w:rPr>
        <w:t xml:space="preserve">I verktyget </w:t>
      </w:r>
      <w:r w:rsidR="00E343A6">
        <w:rPr>
          <w:rFonts w:ascii="Cambria Math" w:eastAsiaTheme="minorEastAsia" w:hAnsi="Cambria Math"/>
        </w:rPr>
        <w:t xml:space="preserve">behöver konverteringsfaktorn uppdateras årligen, men detta görs centralt </w:t>
      </w:r>
      <w:r w:rsidR="00A5476F">
        <w:rPr>
          <w:rFonts w:ascii="Cambria Math" w:eastAsiaTheme="minorEastAsia" w:hAnsi="Cambria Math"/>
        </w:rPr>
        <w:t>och är inget som respektive region behöver tänka på.</w:t>
      </w:r>
    </w:p>
    <w:p w14:paraId="39384284" w14:textId="77777777" w:rsidR="003357A7" w:rsidRDefault="003357A7" w:rsidP="00794AEB"/>
    <w:p w14:paraId="640524E9" w14:textId="0EC64A29" w:rsidR="003B36C8" w:rsidRDefault="003B36C8" w:rsidP="003B36C8">
      <w:pPr>
        <w:rPr>
          <w:highlight w:val="yellow"/>
        </w:rPr>
      </w:pPr>
      <w:r w:rsidRPr="00DA1EAF">
        <w:rPr>
          <w:b/>
          <w:bCs/>
        </w:rPr>
        <w:t>Tabell</w:t>
      </w:r>
      <w:r>
        <w:rPr>
          <w:b/>
          <w:bCs/>
        </w:rPr>
        <w:t>: Utsläpp för inköpskategorier, nya och tidigare värden (kg CO</w:t>
      </w:r>
      <w:r w:rsidRPr="00FB1F66">
        <w:rPr>
          <w:b/>
          <w:bCs/>
          <w:vertAlign w:val="subscript"/>
        </w:rPr>
        <w:t>2</w:t>
      </w:r>
      <w:r>
        <w:rPr>
          <w:b/>
          <w:bCs/>
        </w:rPr>
        <w:t>ekv/SEK)</w:t>
      </w:r>
    </w:p>
    <w:tbl>
      <w:tblPr>
        <w:tblW w:w="0" w:type="auto"/>
        <w:tblCellMar>
          <w:left w:w="0" w:type="dxa"/>
          <w:right w:w="0" w:type="dxa"/>
        </w:tblCellMar>
        <w:tblLook w:val="04A0" w:firstRow="1" w:lastRow="0" w:firstColumn="1" w:lastColumn="0" w:noHBand="0" w:noVBand="1"/>
      </w:tblPr>
      <w:tblGrid>
        <w:gridCol w:w="3826"/>
        <w:gridCol w:w="1260"/>
        <w:gridCol w:w="1936"/>
      </w:tblGrid>
      <w:tr w:rsidR="00920C32" w14:paraId="5CCCD066" w14:textId="77777777" w:rsidTr="00920C32">
        <w:trPr>
          <w:cantSplit/>
          <w:trHeight w:val="227"/>
        </w:trPr>
        <w:tc>
          <w:tcPr>
            <w:tcW w:w="3826" w:type="dxa"/>
            <w:tcBorders>
              <w:top w:val="single" w:sz="8" w:space="0" w:color="999999"/>
              <w:left w:val="single" w:sz="8" w:space="0" w:color="999999"/>
              <w:bottom w:val="single" w:sz="12" w:space="0" w:color="666666"/>
              <w:right w:val="single" w:sz="4" w:space="0" w:color="auto"/>
            </w:tcBorders>
            <w:noWrap/>
            <w:tcMar>
              <w:top w:w="0" w:type="dxa"/>
              <w:left w:w="108" w:type="dxa"/>
              <w:bottom w:w="0" w:type="dxa"/>
              <w:right w:w="108" w:type="dxa"/>
            </w:tcMar>
            <w:hideMark/>
          </w:tcPr>
          <w:p w14:paraId="3465E825" w14:textId="77777777" w:rsidR="00920C32" w:rsidRDefault="00920C32" w:rsidP="005217FC">
            <w:pPr>
              <w:rPr>
                <w:rFonts w:ascii="Calibri" w:hAnsi="Calibri"/>
                <w:b/>
                <w:bCs/>
                <w:color w:val="000000"/>
                <w:spacing w:val="0"/>
                <w:lang w:eastAsia="sv-SE"/>
              </w:rPr>
            </w:pPr>
            <w:r>
              <w:rPr>
                <w:b/>
                <w:bCs/>
                <w:color w:val="000000"/>
                <w:lang w:eastAsia="sv-SE"/>
              </w:rPr>
              <w:t>Kategorier</w:t>
            </w:r>
          </w:p>
        </w:tc>
        <w:tc>
          <w:tcPr>
            <w:tcW w:w="1260" w:type="dxa"/>
            <w:tcBorders>
              <w:top w:val="single" w:sz="4" w:space="0" w:color="auto"/>
              <w:left w:val="single" w:sz="4" w:space="0" w:color="auto"/>
              <w:bottom w:val="single" w:sz="12" w:space="0" w:color="666666"/>
              <w:right w:val="single" w:sz="4" w:space="0" w:color="auto"/>
            </w:tcBorders>
          </w:tcPr>
          <w:p w14:paraId="6BF49C1E" w14:textId="62415A08" w:rsidR="00920C32" w:rsidRDefault="00920C32" w:rsidP="005217FC">
            <w:pPr>
              <w:rPr>
                <w:b/>
                <w:bCs/>
                <w:color w:val="000000"/>
                <w:lang w:eastAsia="sv-SE"/>
              </w:rPr>
            </w:pPr>
            <w:r>
              <w:rPr>
                <w:b/>
                <w:bCs/>
                <w:color w:val="000000"/>
                <w:lang w:eastAsia="sv-SE"/>
              </w:rPr>
              <w:t>Ny version</w:t>
            </w:r>
          </w:p>
        </w:tc>
        <w:tc>
          <w:tcPr>
            <w:tcW w:w="1936" w:type="dxa"/>
            <w:tcBorders>
              <w:top w:val="single" w:sz="8" w:space="0" w:color="999999"/>
              <w:left w:val="single" w:sz="4" w:space="0" w:color="auto"/>
              <w:bottom w:val="single" w:sz="12" w:space="0" w:color="666666"/>
              <w:right w:val="single" w:sz="8" w:space="0" w:color="999999"/>
            </w:tcBorders>
            <w:tcMar>
              <w:top w:w="0" w:type="dxa"/>
              <w:left w:w="108" w:type="dxa"/>
              <w:bottom w:w="0" w:type="dxa"/>
              <w:right w:w="108" w:type="dxa"/>
            </w:tcMar>
            <w:hideMark/>
          </w:tcPr>
          <w:p w14:paraId="4487A3B1" w14:textId="12BDD05A" w:rsidR="00920C32" w:rsidRDefault="00920C32" w:rsidP="005217FC">
            <w:pPr>
              <w:rPr>
                <w:b/>
                <w:bCs/>
                <w:color w:val="000000"/>
                <w:lang w:eastAsia="sv-SE"/>
              </w:rPr>
            </w:pPr>
            <w:r>
              <w:rPr>
                <w:b/>
                <w:bCs/>
                <w:color w:val="000000"/>
                <w:lang w:eastAsia="sv-SE"/>
              </w:rPr>
              <w:t>Tidigare version</w:t>
            </w:r>
          </w:p>
        </w:tc>
      </w:tr>
      <w:tr w:rsidR="00920C32" w14:paraId="75E56081" w14:textId="77777777" w:rsidTr="00920C32">
        <w:trPr>
          <w:cantSplit/>
          <w:trHeight w:val="227"/>
        </w:trPr>
        <w:tc>
          <w:tcPr>
            <w:tcW w:w="3826" w:type="dxa"/>
            <w:tcBorders>
              <w:top w:val="nil"/>
              <w:left w:val="single" w:sz="8" w:space="0" w:color="999999"/>
              <w:bottom w:val="single" w:sz="8" w:space="0" w:color="999999"/>
              <w:right w:val="single" w:sz="4" w:space="0" w:color="auto"/>
            </w:tcBorders>
            <w:noWrap/>
            <w:tcMar>
              <w:top w:w="0" w:type="dxa"/>
              <w:left w:w="108" w:type="dxa"/>
              <w:bottom w:w="0" w:type="dxa"/>
              <w:right w:w="108" w:type="dxa"/>
            </w:tcMar>
            <w:hideMark/>
          </w:tcPr>
          <w:p w14:paraId="3863C40E" w14:textId="77777777" w:rsidR="00920C32" w:rsidRPr="00165AA6" w:rsidRDefault="00920C32" w:rsidP="005217FC">
            <w:pPr>
              <w:spacing w:line="240" w:lineRule="auto"/>
              <w:rPr>
                <w:color w:val="000000"/>
                <w:sz w:val="18"/>
                <w:szCs w:val="18"/>
                <w:lang w:eastAsia="sv-SE"/>
              </w:rPr>
            </w:pPr>
            <w:r w:rsidRPr="00165AA6">
              <w:rPr>
                <w:color w:val="000000"/>
                <w:sz w:val="18"/>
                <w:szCs w:val="18"/>
                <w:lang w:eastAsia="sv-SE"/>
              </w:rPr>
              <w:t>IT och kommunikation</w:t>
            </w:r>
          </w:p>
        </w:tc>
        <w:tc>
          <w:tcPr>
            <w:tcW w:w="1260" w:type="dxa"/>
            <w:tcBorders>
              <w:top w:val="nil"/>
              <w:left w:val="single" w:sz="4" w:space="0" w:color="auto"/>
              <w:bottom w:val="single" w:sz="8" w:space="0" w:color="999999"/>
              <w:right w:val="single" w:sz="4" w:space="0" w:color="auto"/>
            </w:tcBorders>
          </w:tcPr>
          <w:p w14:paraId="2BF9C645" w14:textId="21B711A1" w:rsidR="00920C32" w:rsidRPr="00165AA6" w:rsidRDefault="001A054D" w:rsidP="005217FC">
            <w:pPr>
              <w:spacing w:line="240" w:lineRule="auto"/>
              <w:rPr>
                <w:color w:val="000000"/>
                <w:sz w:val="18"/>
                <w:szCs w:val="18"/>
                <w:lang w:eastAsia="sv-SE"/>
              </w:rPr>
            </w:pPr>
            <w:r w:rsidRPr="001A054D">
              <w:rPr>
                <w:color w:val="000000"/>
                <w:sz w:val="18"/>
                <w:szCs w:val="18"/>
                <w:lang w:eastAsia="sv-SE"/>
              </w:rPr>
              <w:t>0,01124</w:t>
            </w:r>
          </w:p>
        </w:tc>
        <w:tc>
          <w:tcPr>
            <w:tcW w:w="1936" w:type="dxa"/>
            <w:tcBorders>
              <w:top w:val="nil"/>
              <w:left w:val="single" w:sz="4" w:space="0" w:color="auto"/>
              <w:bottom w:val="single" w:sz="8" w:space="0" w:color="999999"/>
              <w:right w:val="single" w:sz="8" w:space="0" w:color="999999"/>
            </w:tcBorders>
            <w:noWrap/>
            <w:tcMar>
              <w:top w:w="0" w:type="dxa"/>
              <w:left w:w="108" w:type="dxa"/>
              <w:bottom w:w="0" w:type="dxa"/>
              <w:right w:w="108" w:type="dxa"/>
            </w:tcMar>
            <w:hideMark/>
          </w:tcPr>
          <w:p w14:paraId="66650F3F" w14:textId="33284C09" w:rsidR="00920C32" w:rsidRPr="00165AA6" w:rsidRDefault="00920C32" w:rsidP="005217FC">
            <w:pPr>
              <w:spacing w:line="240" w:lineRule="auto"/>
              <w:rPr>
                <w:color w:val="000000"/>
                <w:sz w:val="18"/>
                <w:szCs w:val="18"/>
                <w:lang w:eastAsia="sv-SE"/>
              </w:rPr>
            </w:pPr>
            <w:r w:rsidRPr="00165AA6">
              <w:rPr>
                <w:color w:val="000000"/>
                <w:sz w:val="18"/>
                <w:szCs w:val="18"/>
                <w:lang w:eastAsia="sv-SE"/>
              </w:rPr>
              <w:t>0,0129</w:t>
            </w:r>
          </w:p>
        </w:tc>
      </w:tr>
      <w:tr w:rsidR="00920C32" w14:paraId="02DB1475" w14:textId="77777777" w:rsidTr="00920C32">
        <w:trPr>
          <w:cantSplit/>
          <w:trHeight w:val="227"/>
        </w:trPr>
        <w:tc>
          <w:tcPr>
            <w:tcW w:w="3826" w:type="dxa"/>
            <w:tcBorders>
              <w:top w:val="nil"/>
              <w:left w:val="single" w:sz="8" w:space="0" w:color="999999"/>
              <w:bottom w:val="single" w:sz="8" w:space="0" w:color="999999"/>
              <w:right w:val="single" w:sz="4" w:space="0" w:color="auto"/>
            </w:tcBorders>
            <w:noWrap/>
            <w:tcMar>
              <w:top w:w="0" w:type="dxa"/>
              <w:left w:w="108" w:type="dxa"/>
              <w:bottom w:w="0" w:type="dxa"/>
              <w:right w:w="108" w:type="dxa"/>
            </w:tcMar>
            <w:hideMark/>
          </w:tcPr>
          <w:p w14:paraId="7BB42627" w14:textId="77777777" w:rsidR="00920C32" w:rsidRPr="00165AA6" w:rsidRDefault="00920C32" w:rsidP="005217FC">
            <w:pPr>
              <w:spacing w:line="240" w:lineRule="auto"/>
              <w:rPr>
                <w:color w:val="000000"/>
                <w:sz w:val="18"/>
                <w:szCs w:val="18"/>
                <w:lang w:eastAsia="sv-SE"/>
              </w:rPr>
            </w:pPr>
            <w:r w:rsidRPr="00165AA6">
              <w:rPr>
                <w:color w:val="000000"/>
                <w:sz w:val="18"/>
                <w:szCs w:val="18"/>
                <w:lang w:eastAsia="sv-SE"/>
              </w:rPr>
              <w:t>Textilier</w:t>
            </w:r>
          </w:p>
        </w:tc>
        <w:tc>
          <w:tcPr>
            <w:tcW w:w="1260" w:type="dxa"/>
            <w:tcBorders>
              <w:top w:val="nil"/>
              <w:left w:val="single" w:sz="4" w:space="0" w:color="auto"/>
              <w:bottom w:val="single" w:sz="8" w:space="0" w:color="999999"/>
              <w:right w:val="single" w:sz="4" w:space="0" w:color="auto"/>
            </w:tcBorders>
          </w:tcPr>
          <w:p w14:paraId="0CF76305" w14:textId="3619BD0D" w:rsidR="00920C32" w:rsidRPr="00165AA6" w:rsidRDefault="00D15F41" w:rsidP="005217FC">
            <w:pPr>
              <w:spacing w:line="240" w:lineRule="auto"/>
              <w:rPr>
                <w:color w:val="000000"/>
                <w:sz w:val="18"/>
                <w:szCs w:val="18"/>
                <w:lang w:eastAsia="sv-SE"/>
              </w:rPr>
            </w:pPr>
            <w:r w:rsidRPr="00D15F41">
              <w:rPr>
                <w:color w:val="000000"/>
                <w:sz w:val="18"/>
                <w:szCs w:val="18"/>
                <w:lang w:eastAsia="sv-SE"/>
              </w:rPr>
              <w:t>0,02079</w:t>
            </w:r>
          </w:p>
        </w:tc>
        <w:tc>
          <w:tcPr>
            <w:tcW w:w="1936" w:type="dxa"/>
            <w:tcBorders>
              <w:top w:val="nil"/>
              <w:left w:val="single" w:sz="4" w:space="0" w:color="auto"/>
              <w:bottom w:val="single" w:sz="8" w:space="0" w:color="999999"/>
              <w:right w:val="single" w:sz="8" w:space="0" w:color="999999"/>
            </w:tcBorders>
            <w:noWrap/>
            <w:tcMar>
              <w:top w:w="0" w:type="dxa"/>
              <w:left w:w="108" w:type="dxa"/>
              <w:bottom w:w="0" w:type="dxa"/>
              <w:right w:w="108" w:type="dxa"/>
            </w:tcMar>
            <w:hideMark/>
          </w:tcPr>
          <w:p w14:paraId="49289895" w14:textId="5AC32F38" w:rsidR="00920C32" w:rsidRPr="00165AA6" w:rsidRDefault="00920C32" w:rsidP="005217FC">
            <w:pPr>
              <w:spacing w:line="240" w:lineRule="auto"/>
              <w:rPr>
                <w:color w:val="000000"/>
                <w:sz w:val="18"/>
                <w:szCs w:val="18"/>
                <w:lang w:eastAsia="sv-SE"/>
              </w:rPr>
            </w:pPr>
            <w:r w:rsidRPr="00165AA6">
              <w:rPr>
                <w:color w:val="000000"/>
                <w:sz w:val="18"/>
                <w:szCs w:val="18"/>
                <w:lang w:eastAsia="sv-SE"/>
              </w:rPr>
              <w:t>0,0238</w:t>
            </w:r>
          </w:p>
        </w:tc>
      </w:tr>
      <w:tr w:rsidR="00920C32" w14:paraId="5042164E" w14:textId="77777777" w:rsidTr="00920C32">
        <w:trPr>
          <w:cantSplit/>
          <w:trHeight w:val="227"/>
        </w:trPr>
        <w:tc>
          <w:tcPr>
            <w:tcW w:w="3826" w:type="dxa"/>
            <w:tcBorders>
              <w:top w:val="nil"/>
              <w:left w:val="single" w:sz="8" w:space="0" w:color="999999"/>
              <w:bottom w:val="single" w:sz="8" w:space="0" w:color="999999"/>
              <w:right w:val="single" w:sz="4" w:space="0" w:color="auto"/>
            </w:tcBorders>
            <w:noWrap/>
            <w:tcMar>
              <w:top w:w="0" w:type="dxa"/>
              <w:left w:w="108" w:type="dxa"/>
              <w:bottom w:w="0" w:type="dxa"/>
              <w:right w:w="108" w:type="dxa"/>
            </w:tcMar>
            <w:hideMark/>
          </w:tcPr>
          <w:p w14:paraId="29AC780A" w14:textId="77777777" w:rsidR="00920C32" w:rsidRPr="00165AA6" w:rsidRDefault="00920C32" w:rsidP="005217FC">
            <w:pPr>
              <w:spacing w:line="240" w:lineRule="auto"/>
              <w:rPr>
                <w:color w:val="000000"/>
                <w:sz w:val="18"/>
                <w:szCs w:val="18"/>
                <w:lang w:eastAsia="sv-SE"/>
              </w:rPr>
            </w:pPr>
            <w:r w:rsidRPr="00165AA6">
              <w:rPr>
                <w:color w:val="000000"/>
                <w:sz w:val="18"/>
                <w:szCs w:val="18"/>
                <w:lang w:eastAsia="sv-SE"/>
              </w:rPr>
              <w:t>Möbler</w:t>
            </w:r>
          </w:p>
        </w:tc>
        <w:tc>
          <w:tcPr>
            <w:tcW w:w="1260" w:type="dxa"/>
            <w:tcBorders>
              <w:top w:val="nil"/>
              <w:left w:val="single" w:sz="4" w:space="0" w:color="auto"/>
              <w:bottom w:val="single" w:sz="8" w:space="0" w:color="999999"/>
              <w:right w:val="single" w:sz="4" w:space="0" w:color="auto"/>
            </w:tcBorders>
          </w:tcPr>
          <w:p w14:paraId="06CFB8E5" w14:textId="42291A0F" w:rsidR="00920C32" w:rsidRPr="00165AA6" w:rsidRDefault="00D15F41" w:rsidP="005217FC">
            <w:pPr>
              <w:spacing w:line="240" w:lineRule="auto"/>
              <w:rPr>
                <w:color w:val="000000"/>
                <w:sz w:val="18"/>
                <w:szCs w:val="18"/>
                <w:lang w:eastAsia="sv-SE"/>
              </w:rPr>
            </w:pPr>
            <w:r w:rsidRPr="00D15F41">
              <w:rPr>
                <w:color w:val="000000"/>
                <w:sz w:val="18"/>
                <w:szCs w:val="18"/>
                <w:lang w:eastAsia="sv-SE"/>
              </w:rPr>
              <w:t>0,02513</w:t>
            </w:r>
          </w:p>
        </w:tc>
        <w:tc>
          <w:tcPr>
            <w:tcW w:w="1936" w:type="dxa"/>
            <w:tcBorders>
              <w:top w:val="nil"/>
              <w:left w:val="single" w:sz="4" w:space="0" w:color="auto"/>
              <w:bottom w:val="single" w:sz="8" w:space="0" w:color="999999"/>
              <w:right w:val="single" w:sz="8" w:space="0" w:color="999999"/>
            </w:tcBorders>
            <w:noWrap/>
            <w:tcMar>
              <w:top w:w="0" w:type="dxa"/>
              <w:left w:w="108" w:type="dxa"/>
              <w:bottom w:w="0" w:type="dxa"/>
              <w:right w:w="108" w:type="dxa"/>
            </w:tcMar>
            <w:hideMark/>
          </w:tcPr>
          <w:p w14:paraId="5885DF91" w14:textId="7D1E19C6" w:rsidR="00920C32" w:rsidRPr="00165AA6" w:rsidRDefault="00920C32" w:rsidP="005217FC">
            <w:pPr>
              <w:spacing w:line="240" w:lineRule="auto"/>
              <w:rPr>
                <w:color w:val="000000"/>
                <w:sz w:val="18"/>
                <w:szCs w:val="18"/>
                <w:lang w:eastAsia="sv-SE"/>
              </w:rPr>
            </w:pPr>
            <w:r w:rsidRPr="00165AA6">
              <w:rPr>
                <w:color w:val="000000"/>
                <w:sz w:val="18"/>
                <w:szCs w:val="18"/>
                <w:lang w:eastAsia="sv-SE"/>
              </w:rPr>
              <w:t>0,0288</w:t>
            </w:r>
          </w:p>
        </w:tc>
      </w:tr>
      <w:tr w:rsidR="00920C32" w14:paraId="6F39C46C" w14:textId="77777777" w:rsidTr="00920C32">
        <w:trPr>
          <w:cantSplit/>
          <w:trHeight w:val="227"/>
        </w:trPr>
        <w:tc>
          <w:tcPr>
            <w:tcW w:w="3826" w:type="dxa"/>
            <w:tcBorders>
              <w:top w:val="nil"/>
              <w:left w:val="single" w:sz="8" w:space="0" w:color="999999"/>
              <w:bottom w:val="single" w:sz="8" w:space="0" w:color="999999"/>
              <w:right w:val="single" w:sz="4" w:space="0" w:color="auto"/>
            </w:tcBorders>
            <w:noWrap/>
            <w:tcMar>
              <w:top w:w="0" w:type="dxa"/>
              <w:left w:w="108" w:type="dxa"/>
              <w:bottom w:w="0" w:type="dxa"/>
              <w:right w:w="108" w:type="dxa"/>
            </w:tcMar>
            <w:hideMark/>
          </w:tcPr>
          <w:p w14:paraId="125E96F0" w14:textId="77777777" w:rsidR="00920C32" w:rsidRPr="00165AA6" w:rsidRDefault="00920C32" w:rsidP="005217FC">
            <w:pPr>
              <w:spacing w:line="240" w:lineRule="auto"/>
              <w:rPr>
                <w:color w:val="000000"/>
                <w:sz w:val="18"/>
                <w:szCs w:val="18"/>
                <w:lang w:eastAsia="sv-SE"/>
              </w:rPr>
            </w:pPr>
            <w:r w:rsidRPr="00165AA6">
              <w:rPr>
                <w:color w:val="000000"/>
                <w:sz w:val="18"/>
                <w:szCs w:val="18"/>
                <w:lang w:eastAsia="sv-SE"/>
              </w:rPr>
              <w:t>Hjälpmedel</w:t>
            </w:r>
          </w:p>
        </w:tc>
        <w:tc>
          <w:tcPr>
            <w:tcW w:w="1260" w:type="dxa"/>
            <w:tcBorders>
              <w:top w:val="nil"/>
              <w:left w:val="single" w:sz="4" w:space="0" w:color="auto"/>
              <w:bottom w:val="single" w:sz="8" w:space="0" w:color="999999"/>
              <w:right w:val="single" w:sz="4" w:space="0" w:color="auto"/>
            </w:tcBorders>
          </w:tcPr>
          <w:p w14:paraId="56156F25" w14:textId="57A9208E" w:rsidR="00920C32" w:rsidRPr="00165AA6" w:rsidRDefault="00D15F41" w:rsidP="005217FC">
            <w:pPr>
              <w:spacing w:line="240" w:lineRule="auto"/>
              <w:rPr>
                <w:color w:val="000000"/>
                <w:sz w:val="18"/>
                <w:szCs w:val="18"/>
                <w:lang w:eastAsia="sv-SE"/>
              </w:rPr>
            </w:pPr>
            <w:r w:rsidRPr="00D15F41">
              <w:rPr>
                <w:color w:val="000000"/>
                <w:sz w:val="18"/>
                <w:szCs w:val="18"/>
                <w:lang w:eastAsia="sv-SE"/>
              </w:rPr>
              <w:t>0,06017</w:t>
            </w:r>
          </w:p>
        </w:tc>
        <w:tc>
          <w:tcPr>
            <w:tcW w:w="1936" w:type="dxa"/>
            <w:tcBorders>
              <w:top w:val="nil"/>
              <w:left w:val="single" w:sz="4" w:space="0" w:color="auto"/>
              <w:bottom w:val="single" w:sz="8" w:space="0" w:color="999999"/>
              <w:right w:val="single" w:sz="8" w:space="0" w:color="999999"/>
            </w:tcBorders>
            <w:noWrap/>
            <w:tcMar>
              <w:top w:w="0" w:type="dxa"/>
              <w:left w:w="108" w:type="dxa"/>
              <w:bottom w:w="0" w:type="dxa"/>
              <w:right w:w="108" w:type="dxa"/>
            </w:tcMar>
            <w:hideMark/>
          </w:tcPr>
          <w:p w14:paraId="51D13E8B" w14:textId="11A084DB" w:rsidR="00920C32" w:rsidRPr="00165AA6" w:rsidRDefault="00920C32" w:rsidP="005217FC">
            <w:pPr>
              <w:spacing w:line="240" w:lineRule="auto"/>
              <w:rPr>
                <w:color w:val="000000"/>
                <w:sz w:val="18"/>
                <w:szCs w:val="18"/>
                <w:lang w:eastAsia="sv-SE"/>
              </w:rPr>
            </w:pPr>
            <w:r w:rsidRPr="00165AA6">
              <w:rPr>
                <w:color w:val="000000"/>
                <w:sz w:val="18"/>
                <w:szCs w:val="18"/>
                <w:lang w:eastAsia="sv-SE"/>
              </w:rPr>
              <w:t>0,0689</w:t>
            </w:r>
          </w:p>
        </w:tc>
      </w:tr>
      <w:tr w:rsidR="00920C32" w14:paraId="16474E1A" w14:textId="77777777" w:rsidTr="00920C32">
        <w:trPr>
          <w:cantSplit/>
          <w:trHeight w:val="227"/>
        </w:trPr>
        <w:tc>
          <w:tcPr>
            <w:tcW w:w="3826" w:type="dxa"/>
            <w:tcBorders>
              <w:top w:val="nil"/>
              <w:left w:val="single" w:sz="8" w:space="0" w:color="999999"/>
              <w:bottom w:val="single" w:sz="8" w:space="0" w:color="999999"/>
              <w:right w:val="single" w:sz="4" w:space="0" w:color="auto"/>
            </w:tcBorders>
            <w:noWrap/>
            <w:tcMar>
              <w:top w:w="0" w:type="dxa"/>
              <w:left w:w="108" w:type="dxa"/>
              <w:bottom w:w="0" w:type="dxa"/>
              <w:right w:w="108" w:type="dxa"/>
            </w:tcMar>
            <w:hideMark/>
          </w:tcPr>
          <w:p w14:paraId="16315222" w14:textId="77777777" w:rsidR="00920C32" w:rsidRPr="00165AA6" w:rsidRDefault="00920C32" w:rsidP="005217FC">
            <w:pPr>
              <w:spacing w:line="240" w:lineRule="auto"/>
              <w:rPr>
                <w:color w:val="000000"/>
                <w:sz w:val="18"/>
                <w:szCs w:val="18"/>
                <w:lang w:eastAsia="sv-SE"/>
              </w:rPr>
            </w:pPr>
            <w:r w:rsidRPr="00165AA6">
              <w:rPr>
                <w:color w:val="000000"/>
                <w:sz w:val="18"/>
                <w:szCs w:val="18"/>
                <w:lang w:eastAsia="sv-SE"/>
              </w:rPr>
              <w:t>Medicinteknisk utrustning</w:t>
            </w:r>
          </w:p>
        </w:tc>
        <w:tc>
          <w:tcPr>
            <w:tcW w:w="1260" w:type="dxa"/>
            <w:tcBorders>
              <w:top w:val="nil"/>
              <w:left w:val="single" w:sz="4" w:space="0" w:color="auto"/>
              <w:bottom w:val="single" w:sz="8" w:space="0" w:color="999999"/>
              <w:right w:val="single" w:sz="4" w:space="0" w:color="auto"/>
            </w:tcBorders>
          </w:tcPr>
          <w:p w14:paraId="1E3FB157" w14:textId="70476695" w:rsidR="00920C32" w:rsidRPr="00165AA6" w:rsidRDefault="00D15F41" w:rsidP="005217FC">
            <w:pPr>
              <w:spacing w:line="240" w:lineRule="auto"/>
              <w:rPr>
                <w:color w:val="000000"/>
                <w:sz w:val="18"/>
                <w:szCs w:val="18"/>
                <w:lang w:eastAsia="sv-SE"/>
              </w:rPr>
            </w:pPr>
            <w:r w:rsidRPr="00D15F41">
              <w:rPr>
                <w:color w:val="000000"/>
                <w:sz w:val="18"/>
                <w:szCs w:val="18"/>
                <w:lang w:eastAsia="sv-SE"/>
              </w:rPr>
              <w:t>0,04078</w:t>
            </w:r>
          </w:p>
        </w:tc>
        <w:tc>
          <w:tcPr>
            <w:tcW w:w="1936" w:type="dxa"/>
            <w:tcBorders>
              <w:top w:val="nil"/>
              <w:left w:val="single" w:sz="4" w:space="0" w:color="auto"/>
              <w:bottom w:val="single" w:sz="8" w:space="0" w:color="999999"/>
              <w:right w:val="single" w:sz="8" w:space="0" w:color="999999"/>
            </w:tcBorders>
            <w:noWrap/>
            <w:tcMar>
              <w:top w:w="0" w:type="dxa"/>
              <w:left w:w="108" w:type="dxa"/>
              <w:bottom w:w="0" w:type="dxa"/>
              <w:right w:w="108" w:type="dxa"/>
            </w:tcMar>
            <w:hideMark/>
          </w:tcPr>
          <w:p w14:paraId="7D288F3B" w14:textId="46394603" w:rsidR="00920C32" w:rsidRPr="00165AA6" w:rsidRDefault="00920C32" w:rsidP="005217FC">
            <w:pPr>
              <w:spacing w:line="240" w:lineRule="auto"/>
              <w:rPr>
                <w:color w:val="000000"/>
                <w:sz w:val="18"/>
                <w:szCs w:val="18"/>
                <w:lang w:eastAsia="sv-SE"/>
              </w:rPr>
            </w:pPr>
            <w:r w:rsidRPr="00165AA6">
              <w:rPr>
                <w:color w:val="000000"/>
                <w:sz w:val="18"/>
                <w:szCs w:val="18"/>
                <w:lang w:eastAsia="sv-SE"/>
              </w:rPr>
              <w:t>0,0467</w:t>
            </w:r>
          </w:p>
        </w:tc>
      </w:tr>
      <w:tr w:rsidR="00920C32" w14:paraId="63C98B18" w14:textId="77777777" w:rsidTr="00920C32">
        <w:trPr>
          <w:cantSplit/>
          <w:trHeight w:val="227"/>
        </w:trPr>
        <w:tc>
          <w:tcPr>
            <w:tcW w:w="3826" w:type="dxa"/>
            <w:tcBorders>
              <w:top w:val="nil"/>
              <w:left w:val="single" w:sz="8" w:space="0" w:color="999999"/>
              <w:bottom w:val="single" w:sz="8" w:space="0" w:color="999999"/>
              <w:right w:val="single" w:sz="4" w:space="0" w:color="auto"/>
            </w:tcBorders>
            <w:noWrap/>
            <w:tcMar>
              <w:top w:w="0" w:type="dxa"/>
              <w:left w:w="108" w:type="dxa"/>
              <w:bottom w:w="0" w:type="dxa"/>
              <w:right w:w="108" w:type="dxa"/>
            </w:tcMar>
            <w:hideMark/>
          </w:tcPr>
          <w:p w14:paraId="488BF6A3" w14:textId="77777777" w:rsidR="00920C32" w:rsidRPr="00165AA6" w:rsidRDefault="00920C32" w:rsidP="005217FC">
            <w:pPr>
              <w:spacing w:line="240" w:lineRule="auto"/>
              <w:rPr>
                <w:color w:val="000000"/>
                <w:sz w:val="18"/>
                <w:szCs w:val="18"/>
                <w:lang w:eastAsia="sv-SE"/>
              </w:rPr>
            </w:pPr>
            <w:r w:rsidRPr="00165AA6">
              <w:rPr>
                <w:color w:val="000000"/>
                <w:sz w:val="18"/>
                <w:szCs w:val="18"/>
                <w:lang w:eastAsia="sv-SE"/>
              </w:rPr>
              <w:t>Läkemedelsanvändning i verksamheten</w:t>
            </w:r>
          </w:p>
        </w:tc>
        <w:tc>
          <w:tcPr>
            <w:tcW w:w="1260" w:type="dxa"/>
            <w:tcBorders>
              <w:top w:val="nil"/>
              <w:left w:val="single" w:sz="4" w:space="0" w:color="auto"/>
              <w:bottom w:val="single" w:sz="8" w:space="0" w:color="999999"/>
              <w:right w:val="single" w:sz="4" w:space="0" w:color="auto"/>
            </w:tcBorders>
          </w:tcPr>
          <w:p w14:paraId="4AE5FDC5" w14:textId="3D0E4E39" w:rsidR="00920C32" w:rsidRPr="00165AA6" w:rsidRDefault="00D15F41" w:rsidP="005217FC">
            <w:pPr>
              <w:spacing w:line="240" w:lineRule="auto"/>
              <w:rPr>
                <w:color w:val="000000"/>
                <w:sz w:val="18"/>
                <w:szCs w:val="18"/>
                <w:lang w:eastAsia="sv-SE"/>
              </w:rPr>
            </w:pPr>
            <w:r w:rsidRPr="00D15F41">
              <w:rPr>
                <w:color w:val="000000"/>
                <w:sz w:val="18"/>
                <w:szCs w:val="18"/>
                <w:lang w:eastAsia="sv-SE"/>
              </w:rPr>
              <w:t>0,00731</w:t>
            </w:r>
          </w:p>
        </w:tc>
        <w:tc>
          <w:tcPr>
            <w:tcW w:w="1936" w:type="dxa"/>
            <w:tcBorders>
              <w:top w:val="nil"/>
              <w:left w:val="single" w:sz="4" w:space="0" w:color="auto"/>
              <w:bottom w:val="single" w:sz="8" w:space="0" w:color="999999"/>
              <w:right w:val="single" w:sz="8" w:space="0" w:color="999999"/>
            </w:tcBorders>
            <w:noWrap/>
            <w:tcMar>
              <w:top w:w="0" w:type="dxa"/>
              <w:left w:w="108" w:type="dxa"/>
              <w:bottom w:w="0" w:type="dxa"/>
              <w:right w:w="108" w:type="dxa"/>
            </w:tcMar>
            <w:hideMark/>
          </w:tcPr>
          <w:p w14:paraId="3C81B816" w14:textId="4B77B84B" w:rsidR="00920C32" w:rsidRPr="00165AA6" w:rsidRDefault="00920C32" w:rsidP="005217FC">
            <w:pPr>
              <w:spacing w:line="240" w:lineRule="auto"/>
              <w:rPr>
                <w:color w:val="000000"/>
                <w:sz w:val="18"/>
                <w:szCs w:val="18"/>
                <w:lang w:eastAsia="sv-SE"/>
              </w:rPr>
            </w:pPr>
            <w:r w:rsidRPr="00165AA6">
              <w:rPr>
                <w:color w:val="000000"/>
                <w:sz w:val="18"/>
                <w:szCs w:val="18"/>
                <w:lang w:eastAsia="sv-SE"/>
              </w:rPr>
              <w:t>0,0084</w:t>
            </w:r>
          </w:p>
        </w:tc>
      </w:tr>
      <w:tr w:rsidR="00920C32" w14:paraId="71742DD8" w14:textId="77777777" w:rsidTr="00920C32">
        <w:trPr>
          <w:cantSplit/>
          <w:trHeight w:val="227"/>
        </w:trPr>
        <w:tc>
          <w:tcPr>
            <w:tcW w:w="3826" w:type="dxa"/>
            <w:tcBorders>
              <w:top w:val="nil"/>
              <w:left w:val="single" w:sz="8" w:space="0" w:color="999999"/>
              <w:bottom w:val="single" w:sz="8" w:space="0" w:color="999999"/>
              <w:right w:val="single" w:sz="4" w:space="0" w:color="auto"/>
            </w:tcBorders>
            <w:noWrap/>
            <w:tcMar>
              <w:top w:w="0" w:type="dxa"/>
              <w:left w:w="108" w:type="dxa"/>
              <w:bottom w:w="0" w:type="dxa"/>
              <w:right w:w="108" w:type="dxa"/>
            </w:tcMar>
            <w:hideMark/>
          </w:tcPr>
          <w:p w14:paraId="45E9F860" w14:textId="77777777" w:rsidR="00920C32" w:rsidRPr="00165AA6" w:rsidRDefault="00920C32" w:rsidP="005217FC">
            <w:pPr>
              <w:spacing w:line="240" w:lineRule="auto"/>
              <w:rPr>
                <w:color w:val="000000"/>
                <w:sz w:val="18"/>
                <w:szCs w:val="18"/>
                <w:lang w:eastAsia="sv-SE"/>
              </w:rPr>
            </w:pPr>
            <w:r w:rsidRPr="00165AA6">
              <w:rPr>
                <w:color w:val="000000"/>
                <w:sz w:val="18"/>
                <w:szCs w:val="18"/>
                <w:lang w:eastAsia="sv-SE"/>
              </w:rPr>
              <w:t>Vård</w:t>
            </w:r>
            <w:r>
              <w:rPr>
                <w:color w:val="000000"/>
                <w:sz w:val="18"/>
                <w:szCs w:val="18"/>
                <w:lang w:eastAsia="sv-SE"/>
              </w:rPr>
              <w:t>-</w:t>
            </w:r>
            <w:r w:rsidRPr="00165AA6">
              <w:rPr>
                <w:color w:val="000000"/>
                <w:sz w:val="18"/>
                <w:szCs w:val="18"/>
                <w:lang w:eastAsia="sv-SE"/>
              </w:rPr>
              <w:t xml:space="preserve"> och tandvårdsrelaterade tjänster</w:t>
            </w:r>
          </w:p>
        </w:tc>
        <w:tc>
          <w:tcPr>
            <w:tcW w:w="1260" w:type="dxa"/>
            <w:tcBorders>
              <w:top w:val="nil"/>
              <w:left w:val="single" w:sz="4" w:space="0" w:color="auto"/>
              <w:bottom w:val="single" w:sz="8" w:space="0" w:color="999999"/>
              <w:right w:val="single" w:sz="4" w:space="0" w:color="auto"/>
            </w:tcBorders>
          </w:tcPr>
          <w:p w14:paraId="5A261DDA" w14:textId="377461EF" w:rsidR="00920C32" w:rsidRPr="00165AA6" w:rsidRDefault="00210FEF" w:rsidP="005217FC">
            <w:pPr>
              <w:spacing w:line="240" w:lineRule="auto"/>
              <w:rPr>
                <w:color w:val="000000"/>
                <w:sz w:val="18"/>
                <w:szCs w:val="18"/>
                <w:lang w:eastAsia="sv-SE"/>
              </w:rPr>
            </w:pPr>
            <w:r w:rsidRPr="00210FEF">
              <w:rPr>
                <w:color w:val="000000"/>
                <w:sz w:val="18"/>
                <w:szCs w:val="18"/>
                <w:lang w:eastAsia="sv-SE"/>
              </w:rPr>
              <w:t>0,00536</w:t>
            </w:r>
          </w:p>
        </w:tc>
        <w:tc>
          <w:tcPr>
            <w:tcW w:w="1936" w:type="dxa"/>
            <w:tcBorders>
              <w:top w:val="nil"/>
              <w:left w:val="single" w:sz="4" w:space="0" w:color="auto"/>
              <w:bottom w:val="single" w:sz="8" w:space="0" w:color="999999"/>
              <w:right w:val="single" w:sz="8" w:space="0" w:color="999999"/>
            </w:tcBorders>
            <w:noWrap/>
            <w:tcMar>
              <w:top w:w="0" w:type="dxa"/>
              <w:left w:w="108" w:type="dxa"/>
              <w:bottom w:w="0" w:type="dxa"/>
              <w:right w:w="108" w:type="dxa"/>
            </w:tcMar>
            <w:hideMark/>
          </w:tcPr>
          <w:p w14:paraId="3BEA60DA" w14:textId="0D037EDA" w:rsidR="00920C32" w:rsidRPr="00165AA6" w:rsidRDefault="00920C32" w:rsidP="005217FC">
            <w:pPr>
              <w:spacing w:line="240" w:lineRule="auto"/>
              <w:rPr>
                <w:color w:val="000000"/>
                <w:sz w:val="18"/>
                <w:szCs w:val="18"/>
                <w:lang w:eastAsia="sv-SE"/>
              </w:rPr>
            </w:pPr>
            <w:r w:rsidRPr="00165AA6">
              <w:rPr>
                <w:color w:val="000000"/>
                <w:sz w:val="18"/>
                <w:szCs w:val="18"/>
                <w:lang w:eastAsia="sv-SE"/>
              </w:rPr>
              <w:t>0,0061</w:t>
            </w:r>
          </w:p>
        </w:tc>
      </w:tr>
      <w:tr w:rsidR="00920C32" w14:paraId="014B6AED" w14:textId="77777777" w:rsidTr="00920C32">
        <w:trPr>
          <w:cantSplit/>
          <w:trHeight w:val="227"/>
        </w:trPr>
        <w:tc>
          <w:tcPr>
            <w:tcW w:w="3826" w:type="dxa"/>
            <w:tcBorders>
              <w:top w:val="nil"/>
              <w:left w:val="single" w:sz="8" w:space="0" w:color="999999"/>
              <w:bottom w:val="single" w:sz="8" w:space="0" w:color="999999"/>
              <w:right w:val="single" w:sz="4" w:space="0" w:color="auto"/>
            </w:tcBorders>
            <w:noWrap/>
            <w:tcMar>
              <w:top w:w="0" w:type="dxa"/>
              <w:left w:w="108" w:type="dxa"/>
              <w:bottom w:w="0" w:type="dxa"/>
              <w:right w:w="108" w:type="dxa"/>
            </w:tcMar>
            <w:hideMark/>
          </w:tcPr>
          <w:p w14:paraId="110F9C07" w14:textId="77777777" w:rsidR="00920C32" w:rsidRPr="00165AA6" w:rsidRDefault="00920C32" w:rsidP="005217FC">
            <w:pPr>
              <w:spacing w:line="240" w:lineRule="auto"/>
              <w:rPr>
                <w:color w:val="000000"/>
                <w:sz w:val="18"/>
                <w:szCs w:val="18"/>
                <w:lang w:eastAsia="sv-SE"/>
              </w:rPr>
            </w:pPr>
            <w:r w:rsidRPr="00165AA6">
              <w:rPr>
                <w:color w:val="000000"/>
                <w:sz w:val="18"/>
                <w:szCs w:val="18"/>
                <w:lang w:eastAsia="sv-SE"/>
              </w:rPr>
              <w:t>Förbrukningsartiklar</w:t>
            </w:r>
          </w:p>
        </w:tc>
        <w:tc>
          <w:tcPr>
            <w:tcW w:w="1260" w:type="dxa"/>
            <w:tcBorders>
              <w:top w:val="nil"/>
              <w:left w:val="single" w:sz="4" w:space="0" w:color="auto"/>
              <w:bottom w:val="single" w:sz="4" w:space="0" w:color="auto"/>
              <w:right w:val="single" w:sz="4" w:space="0" w:color="auto"/>
            </w:tcBorders>
          </w:tcPr>
          <w:p w14:paraId="428CFB8B" w14:textId="3BF2A5D2" w:rsidR="00920C32" w:rsidRPr="00165AA6" w:rsidRDefault="00210FEF" w:rsidP="005217FC">
            <w:pPr>
              <w:spacing w:line="240" w:lineRule="auto"/>
              <w:rPr>
                <w:color w:val="000000"/>
                <w:sz w:val="18"/>
                <w:szCs w:val="18"/>
                <w:lang w:eastAsia="sv-SE"/>
              </w:rPr>
            </w:pPr>
            <w:r w:rsidRPr="00210FEF">
              <w:rPr>
                <w:color w:val="000000"/>
                <w:sz w:val="18"/>
                <w:szCs w:val="18"/>
                <w:lang w:eastAsia="sv-SE"/>
              </w:rPr>
              <w:t>0,04691</w:t>
            </w:r>
          </w:p>
        </w:tc>
        <w:tc>
          <w:tcPr>
            <w:tcW w:w="1936" w:type="dxa"/>
            <w:tcBorders>
              <w:top w:val="nil"/>
              <w:left w:val="single" w:sz="4" w:space="0" w:color="auto"/>
              <w:bottom w:val="single" w:sz="8" w:space="0" w:color="999999"/>
              <w:right w:val="single" w:sz="8" w:space="0" w:color="999999"/>
            </w:tcBorders>
            <w:noWrap/>
            <w:tcMar>
              <w:top w:w="0" w:type="dxa"/>
              <w:left w:w="108" w:type="dxa"/>
              <w:bottom w:w="0" w:type="dxa"/>
              <w:right w:w="108" w:type="dxa"/>
            </w:tcMar>
            <w:hideMark/>
          </w:tcPr>
          <w:p w14:paraId="1EE16308" w14:textId="0335D084" w:rsidR="00920C32" w:rsidRPr="00165AA6" w:rsidRDefault="00920C32" w:rsidP="005217FC">
            <w:pPr>
              <w:spacing w:line="240" w:lineRule="auto"/>
              <w:rPr>
                <w:color w:val="000000"/>
                <w:sz w:val="18"/>
                <w:szCs w:val="18"/>
                <w:lang w:eastAsia="sv-SE"/>
              </w:rPr>
            </w:pPr>
            <w:r w:rsidRPr="00165AA6">
              <w:rPr>
                <w:color w:val="000000"/>
                <w:sz w:val="18"/>
                <w:szCs w:val="18"/>
                <w:lang w:eastAsia="sv-SE"/>
              </w:rPr>
              <w:t>0,0590</w:t>
            </w:r>
          </w:p>
        </w:tc>
      </w:tr>
    </w:tbl>
    <w:p w14:paraId="4551A75E" w14:textId="672302EA" w:rsidR="003B36C8" w:rsidRDefault="003B36C8" w:rsidP="003B36C8">
      <w:pPr>
        <w:spacing w:after="360"/>
        <w:rPr>
          <w:sz w:val="18"/>
          <w:szCs w:val="18"/>
        </w:rPr>
      </w:pPr>
      <w:r w:rsidRPr="00EE4216">
        <w:rPr>
          <w:b/>
          <w:bCs/>
          <w:sz w:val="18"/>
          <w:szCs w:val="18"/>
        </w:rPr>
        <w:t>Anm:</w:t>
      </w:r>
      <w:r w:rsidRPr="00EE4216">
        <w:rPr>
          <w:sz w:val="18"/>
          <w:szCs w:val="18"/>
        </w:rPr>
        <w:t xml:space="preserve"> Värden</w:t>
      </w:r>
      <w:r>
        <w:rPr>
          <w:sz w:val="18"/>
          <w:szCs w:val="18"/>
        </w:rPr>
        <w:t>a</w:t>
      </w:r>
      <w:r w:rsidRPr="00EE4216">
        <w:rPr>
          <w:sz w:val="18"/>
          <w:szCs w:val="18"/>
        </w:rPr>
        <w:t xml:space="preserve"> avser bara indirekta utsläpp, dvs scope 3. </w:t>
      </w:r>
      <w:r w:rsidRPr="00EE4216">
        <w:rPr>
          <w:sz w:val="18"/>
          <w:szCs w:val="18"/>
        </w:rPr>
        <w:br/>
        <w:t>Nya värden överensstämmer med Region Stockholms miljöspendanalys avseende 2021</w:t>
      </w:r>
      <w:r w:rsidR="000C3BA2">
        <w:rPr>
          <w:sz w:val="18"/>
          <w:szCs w:val="18"/>
        </w:rPr>
        <w:t xml:space="preserve"> och är inflationsjusterade för 2022.</w:t>
      </w:r>
      <w:r>
        <w:rPr>
          <w:sz w:val="18"/>
          <w:szCs w:val="18"/>
        </w:rPr>
        <w:br/>
      </w:r>
      <w:r w:rsidRPr="00EE4216">
        <w:rPr>
          <w:sz w:val="18"/>
          <w:szCs w:val="18"/>
        </w:rPr>
        <w:t>Tidigare värden</w:t>
      </w:r>
      <w:r w:rsidR="000C3BA2" w:rsidRPr="00EE4216">
        <w:rPr>
          <w:sz w:val="18"/>
          <w:szCs w:val="18"/>
        </w:rPr>
        <w:t xml:space="preserve"> överensstämmer med Region Stockholms miljöspendanalys avseende 2021</w:t>
      </w:r>
      <w:r w:rsidR="007D789C">
        <w:rPr>
          <w:sz w:val="18"/>
          <w:szCs w:val="18"/>
        </w:rPr>
        <w:t xml:space="preserve">. </w:t>
      </w:r>
    </w:p>
    <w:p w14:paraId="57E8C5E2" w14:textId="77777777" w:rsidR="00D373E2" w:rsidRDefault="00D373E2" w:rsidP="006F77E4">
      <w:r>
        <w:t>Det går att använda det utökade spendverktyget för att räkna på inköp från naturbruk, om Regionen har fler kategorier än de som visas nedan som den vill redovisa. Se avsnitt ”</w:t>
      </w:r>
      <w:r w:rsidRPr="0022374F">
        <w:t xml:space="preserve"> Tilläggsfiler för ytterligare analys</w:t>
      </w:r>
      <w:r>
        <w:t>” för mer information.</w:t>
      </w:r>
    </w:p>
    <w:p w14:paraId="467D98CB" w14:textId="52711969" w:rsidR="006F77E4" w:rsidRDefault="005319F1" w:rsidP="006F77E4">
      <w:pPr>
        <w:rPr>
          <w:rFonts w:asciiTheme="minorHAnsi" w:hAnsiTheme="minorHAnsi"/>
          <w:spacing w:val="0"/>
        </w:rPr>
      </w:pPr>
      <w:r w:rsidRPr="00C50EFC">
        <w:t xml:space="preserve">Som komplement och på sikt eftersträvas </w:t>
      </w:r>
      <w:r w:rsidR="006D4471">
        <w:t>att regionen ska kunna rapportera</w:t>
      </w:r>
      <w:r w:rsidRPr="00C50EFC">
        <w:t xml:space="preserve"> utsläppsuppgifter </w:t>
      </w:r>
      <w:r w:rsidR="002B7CFB">
        <w:t xml:space="preserve">på produktnivå </w:t>
      </w:r>
      <w:r w:rsidRPr="00C50EFC">
        <w:t>för fler prioriterade produkter</w:t>
      </w:r>
      <w:r w:rsidR="006F77E4">
        <w:t>.</w:t>
      </w:r>
      <w:r w:rsidR="002B7CFB">
        <w:t xml:space="preserve"> Detta skulle ge ett mer direkt genomslag för </w:t>
      </w:r>
      <w:r w:rsidR="004410BB">
        <w:t xml:space="preserve">olika </w:t>
      </w:r>
      <w:r w:rsidR="002B7CFB">
        <w:t>val och utbyte av produkter.</w:t>
      </w:r>
      <w:r w:rsidRPr="00C50EFC">
        <w:t xml:space="preserve"> </w:t>
      </w:r>
      <w:r w:rsidR="00776431">
        <w:t xml:space="preserve">För att rapportera </w:t>
      </w:r>
      <w:r w:rsidR="00C7566D">
        <w:t xml:space="preserve">utsläpp på produktnivå behöver regionen idag beräkna dessa utsläpp separat och </w:t>
      </w:r>
      <w:r w:rsidR="009F58B7">
        <w:t xml:space="preserve">sedan lägga in dessa utsläpp i verktyget. För att undvika dubbelräkning måste regionen då </w:t>
      </w:r>
      <w:r w:rsidR="006F77E4" w:rsidRPr="00116F6B">
        <w:t>samtidigt dra bort motsvarande del av kostnaden från övriga inköp i den kategorin.</w:t>
      </w:r>
    </w:p>
    <w:tbl>
      <w:tblPr>
        <w:tblStyle w:val="Tabellrutnt"/>
        <w:tblW w:w="0" w:type="auto"/>
        <w:tblCellMar>
          <w:top w:w="57" w:type="dxa"/>
          <w:bottom w:w="57" w:type="dxa"/>
        </w:tblCellMar>
        <w:tblLook w:val="04A0" w:firstRow="1" w:lastRow="0" w:firstColumn="1" w:lastColumn="0" w:noHBand="0" w:noVBand="1"/>
      </w:tblPr>
      <w:tblGrid>
        <w:gridCol w:w="9062"/>
      </w:tblGrid>
      <w:tr w:rsidR="00794AEB" w14:paraId="126A044C" w14:textId="77777777" w:rsidTr="004631DD">
        <w:tc>
          <w:tcPr>
            <w:tcW w:w="9062" w:type="dxa"/>
          </w:tcPr>
          <w:bookmarkEnd w:id="67"/>
          <w:p w14:paraId="5B5B775D" w14:textId="77777777" w:rsidR="00794AEB" w:rsidRPr="00C50EFC" w:rsidRDefault="00041A63" w:rsidP="00EB5D77">
            <w:pPr>
              <w:rPr>
                <w:b/>
                <w:bCs/>
              </w:rPr>
            </w:pPr>
            <w:r w:rsidRPr="00C50EFC">
              <w:rPr>
                <w:b/>
                <w:bCs/>
              </w:rPr>
              <w:t xml:space="preserve">Så kan produktspecifika utsläppsvärden användas </w:t>
            </w:r>
          </w:p>
          <w:p w14:paraId="5EFF1FE6" w14:textId="77777777" w:rsidR="00794AEB" w:rsidRDefault="00794AEB" w:rsidP="00EB5D77">
            <w:pPr>
              <w:pStyle w:val="Liststycke"/>
              <w:spacing w:line="259" w:lineRule="auto"/>
              <w:ind w:left="360"/>
            </w:pPr>
          </w:p>
          <w:p w14:paraId="7C7790B8" w14:textId="77777777" w:rsidR="00794AEB" w:rsidRDefault="00794AEB" w:rsidP="00EB5D77">
            <w:r>
              <w:t>För att kunna se utfall av arbete med att använda mindre och mer klimatsmarta förbrukningsmaterial kan följande principiella tillvägagångssätt tillämpas (i excel):</w:t>
            </w:r>
          </w:p>
          <w:p w14:paraId="11F7DEB4" w14:textId="77777777" w:rsidR="00794AEB" w:rsidRDefault="00794AEB" w:rsidP="00EB5D77">
            <w:pPr>
              <w:pStyle w:val="Liststycke"/>
              <w:numPr>
                <w:ilvl w:val="0"/>
                <w:numId w:val="8"/>
              </w:numPr>
              <w:spacing w:line="259" w:lineRule="auto"/>
            </w:pPr>
            <w:r>
              <w:t>Definiera vilka förbrukningsartiklar (artikelnummer) som ska ingå i uppföljningen. M</w:t>
            </w:r>
            <w:r w:rsidRPr="00196AF3">
              <w:t>inskningslista</w:t>
            </w:r>
            <w:r>
              <w:t xml:space="preserve"> </w:t>
            </w:r>
            <w:r w:rsidRPr="00196AF3">
              <w:t>från reg</w:t>
            </w:r>
            <w:r>
              <w:t>ion S</w:t>
            </w:r>
            <w:r w:rsidRPr="00196AF3">
              <w:t xml:space="preserve">örmland och </w:t>
            </w:r>
            <w:r>
              <w:t>V</w:t>
            </w:r>
            <w:r w:rsidRPr="00196AF3">
              <w:t>ästmanland</w:t>
            </w:r>
            <w:r>
              <w:t xml:space="preserve"> kan användas som utgångspunkt.</w:t>
            </w:r>
          </w:p>
          <w:p w14:paraId="6D275C9B" w14:textId="77777777" w:rsidR="00794AEB" w:rsidRDefault="00794AEB" w:rsidP="00EB5D77">
            <w:pPr>
              <w:pStyle w:val="Liststycke"/>
              <w:numPr>
                <w:ilvl w:val="0"/>
                <w:numId w:val="8"/>
              </w:numPr>
              <w:spacing w:line="259" w:lineRule="auto"/>
            </w:pPr>
            <w:r>
              <w:t xml:space="preserve">För varje artikelnummer fastställs (antingen via uppgifter från leverantör eller via egna vägningar och kontroller av produktinformationsblad) vikt per st, vilket material </w:t>
            </w:r>
            <w:r w:rsidR="00221E93">
              <w:t xml:space="preserve">som </w:t>
            </w:r>
            <w:r>
              <w:t xml:space="preserve">artikelnumret är gjort i huvudsak av samt en emissionsfaktor för tillverkning av det aktuella materialet. Flera artikelnummer kan slås ihop till ett genomsnitt (t.ex. alla handskar av ett visst material räknas som en ”genomsnittshandske”). </w:t>
            </w:r>
          </w:p>
          <w:p w14:paraId="1A188F83" w14:textId="77777777" w:rsidR="00794AEB" w:rsidRDefault="00794AEB" w:rsidP="00EB5D77">
            <w:pPr>
              <w:pStyle w:val="Liststycke"/>
              <w:numPr>
                <w:ilvl w:val="0"/>
                <w:numId w:val="8"/>
              </w:numPr>
              <w:spacing w:line="259" w:lineRule="auto"/>
            </w:pPr>
            <w:r>
              <w:t xml:space="preserve">Följ upp via inköpssystemet antal av de definierade artikelnumren som har köpts in. </w:t>
            </w:r>
          </w:p>
          <w:p w14:paraId="3B4648F7" w14:textId="77777777" w:rsidR="00794AEB" w:rsidRDefault="00794AEB" w:rsidP="00EB5D77">
            <w:pPr>
              <w:pStyle w:val="Liststycke"/>
              <w:numPr>
                <w:ilvl w:val="0"/>
                <w:numId w:val="8"/>
              </w:numPr>
              <w:spacing w:line="259" w:lineRule="auto"/>
            </w:pPr>
            <w:r>
              <w:t>Med utgångspunkt från ovanstående underlag beräknas klimatpåverkan till följd av inköp/användning av de aktuella förbrukningsmaterialen.</w:t>
            </w:r>
          </w:p>
        </w:tc>
      </w:tr>
    </w:tbl>
    <w:p w14:paraId="0833A5EA" w14:textId="77777777" w:rsidR="00794AEB" w:rsidRDefault="00794AEB" w:rsidP="00794AEB"/>
    <w:p w14:paraId="4070AE5E" w14:textId="77777777" w:rsidR="00E07ECF" w:rsidRDefault="00E07ECF" w:rsidP="00794AEB">
      <w:r>
        <w:t>Utsläpp för inköpta produkter redovisas i scope 3 och utsläpp från användning av medicinska gaser i scope 1.</w:t>
      </w:r>
    </w:p>
    <w:p w14:paraId="3DDE1401" w14:textId="77777777" w:rsidR="00E07ECF" w:rsidRDefault="00F06F5B" w:rsidP="00794AEB">
      <w:pPr>
        <w:rPr>
          <w:color w:val="0563C1" w:themeColor="hyperlink"/>
          <w:u w:val="single"/>
        </w:rPr>
      </w:pPr>
      <w:r w:rsidRPr="00C50EFC">
        <w:rPr>
          <w:b/>
          <w:bCs/>
        </w:rPr>
        <w:t>Lä</w:t>
      </w:r>
      <w:r w:rsidR="00563A15" w:rsidRPr="00C50EFC">
        <w:rPr>
          <w:b/>
          <w:bCs/>
        </w:rPr>
        <w:t>nk</w:t>
      </w:r>
      <w:r w:rsidR="000A1664">
        <w:rPr>
          <w:b/>
          <w:bCs/>
        </w:rPr>
        <w:t xml:space="preserve">: </w:t>
      </w:r>
      <w:hyperlink r:id="rId38" w:history="1">
        <w:r w:rsidR="006E01ED" w:rsidRPr="006E01ED">
          <w:rPr>
            <w:rStyle w:val="Hyperlnk"/>
          </w:rPr>
          <w:t>LfU:s kategoriträd</w:t>
        </w:r>
      </w:hyperlink>
      <w:r w:rsidR="004F1349">
        <w:rPr>
          <w:rStyle w:val="Hyperlnk"/>
        </w:rPr>
        <w:br/>
      </w:r>
    </w:p>
    <w:p w14:paraId="0BB24BA0" w14:textId="77777777" w:rsidR="000815DC" w:rsidRDefault="000815DC" w:rsidP="00DF56D9">
      <w:pPr>
        <w:pStyle w:val="Rubrik3"/>
      </w:pPr>
      <w:bookmarkStart w:id="69" w:name="_Toc92867343"/>
      <w:bookmarkStart w:id="70" w:name="_Toc93482414"/>
      <w:bookmarkStart w:id="71" w:name="_Toc152920047"/>
      <w:r>
        <w:t>Medicinska gaser</w:t>
      </w:r>
      <w:bookmarkEnd w:id="69"/>
      <w:bookmarkEnd w:id="70"/>
      <w:bookmarkEnd w:id="71"/>
    </w:p>
    <w:p w14:paraId="520BE3C2" w14:textId="77777777" w:rsidR="006D0AC4" w:rsidRDefault="006D0AC4" w:rsidP="006D0AC4">
      <w:pPr>
        <w:pStyle w:val="Rubrik4"/>
      </w:pPr>
      <w:r w:rsidRPr="006D0AC4">
        <w:t>Omfattning/avgränsningar</w:t>
      </w:r>
    </w:p>
    <w:p w14:paraId="2D2D70E1" w14:textId="77777777" w:rsidR="006D0AC4" w:rsidRPr="00BB7C6C" w:rsidRDefault="006D0AC4" w:rsidP="006D0AC4">
      <w:r>
        <w:t xml:space="preserve">Posten bör omfatta gaserna lustgas, </w:t>
      </w:r>
      <w:r w:rsidR="00DE7619">
        <w:t xml:space="preserve">koldioxid, </w:t>
      </w:r>
      <w:r w:rsidRPr="00EE4586">
        <w:t>sevofluran, isofluran och desfluran</w:t>
      </w:r>
      <w:r>
        <w:t xml:space="preserve">. </w:t>
      </w:r>
    </w:p>
    <w:p w14:paraId="435034B1" w14:textId="77777777" w:rsidR="006D0AC4" w:rsidRPr="006D0AC4" w:rsidRDefault="006D0AC4" w:rsidP="006D0AC4">
      <w:pPr>
        <w:pStyle w:val="Rubrik4"/>
        <w:rPr>
          <w:i/>
        </w:rPr>
      </w:pPr>
      <w:r w:rsidRPr="006D0AC4">
        <w:t>Underlag och beräkningsmetod</w:t>
      </w:r>
    </w:p>
    <w:p w14:paraId="770232AE" w14:textId="77777777" w:rsidR="006D0AC4" w:rsidRDefault="00BF2B77" w:rsidP="006D0AC4">
      <w:r>
        <w:t>Underlaget har sedan 2009 rapporterats in i SKR</w:t>
      </w:r>
      <w:r w:rsidR="00E8359B">
        <w:t>:</w:t>
      </w:r>
      <w:r>
        <w:t xml:space="preserve">s </w:t>
      </w:r>
      <w:r w:rsidRPr="004528E5">
        <w:t>Öppna jämförelser miljöarbetet i regionerna</w:t>
      </w:r>
      <w:r>
        <w:t xml:space="preserve">. </w:t>
      </w:r>
      <w:r w:rsidR="006D0AC4">
        <w:t>Inköpta mängder tas fram för samtliga gaser. I de fall destruktionsanläggning finns behöver även insamlingsgrad mätas</w:t>
      </w:r>
      <w:r w:rsidR="00C60C3A">
        <w:t xml:space="preserve"> eller beräknas</w:t>
      </w:r>
      <w:r w:rsidR="006D0AC4">
        <w:t xml:space="preserve"> tillsammans med destruktionsanläggningens effektivitet. Om mätning för insamlingsgrad saknas kan uppskattningen 70 % antas. Om mätning av destruktionsanläggningens effektivitet saknas kan uppskattningen 97 % antas.</w:t>
      </w:r>
    </w:p>
    <w:p w14:paraId="2A5F28E2" w14:textId="77777777" w:rsidR="006D0AC4" w:rsidRDefault="006D0AC4" w:rsidP="006D0AC4">
      <w:r>
        <w:t>Posten redovisas i scope 1.</w:t>
      </w:r>
    </w:p>
    <w:p w14:paraId="1FB040B1" w14:textId="77777777" w:rsidR="00DC6635" w:rsidRDefault="00DC6635" w:rsidP="00DF56D9">
      <w:pPr>
        <w:pStyle w:val="Rubrik3"/>
      </w:pPr>
      <w:bookmarkStart w:id="72" w:name="_Toc92867344"/>
      <w:bookmarkStart w:id="73" w:name="_Toc93482415"/>
      <w:bookmarkStart w:id="74" w:name="_Toc152920048"/>
      <w:r>
        <w:t>Tvätteritjänster</w:t>
      </w:r>
      <w:bookmarkEnd w:id="72"/>
      <w:bookmarkEnd w:id="73"/>
      <w:bookmarkEnd w:id="74"/>
    </w:p>
    <w:p w14:paraId="47AE90EE" w14:textId="77777777" w:rsidR="00DC6635" w:rsidRPr="00CE25EC" w:rsidRDefault="00DC6635" w:rsidP="00DC6635">
      <w:pPr>
        <w:pStyle w:val="Rubrik4"/>
        <w:rPr>
          <w:i/>
        </w:rPr>
      </w:pPr>
      <w:r w:rsidRPr="00CE25EC">
        <w:t>Omfattning/avgränsningar</w:t>
      </w:r>
    </w:p>
    <w:p w14:paraId="0EFAD102" w14:textId="069D2A78" w:rsidR="00DC6635" w:rsidRDefault="00DC6635" w:rsidP="00DC6635">
      <w:r>
        <w:t xml:space="preserve">Denna post omfattar endast tvätteritjänster som </w:t>
      </w:r>
      <w:r w:rsidRPr="00F908FA">
        <w:rPr>
          <w:u w:val="single"/>
        </w:rPr>
        <w:t>inte</w:t>
      </w:r>
      <w:r>
        <w:t xml:space="preserve"> bedrivs i egen regi, det vill säga upphandlade tjänster. Om det bedrivs i egen regi inkluderas klimatpåverkan i posterna som rör fastigheter och transporter. </w:t>
      </w:r>
    </w:p>
    <w:p w14:paraId="4730E556" w14:textId="77777777" w:rsidR="00DC6635" w:rsidRPr="00BB7C6C" w:rsidRDefault="00DC6635" w:rsidP="00DC6635">
      <w:r>
        <w:t>I verktyget särredovisas förbrukningsdata för tjänsten tvätteri och tjänsten transporter</w:t>
      </w:r>
      <w:r w:rsidR="00FD3379">
        <w:t>. T</w:t>
      </w:r>
      <w:r w:rsidR="00E168CC">
        <w:t xml:space="preserve">ransporterna </w:t>
      </w:r>
      <w:r w:rsidR="00A96686">
        <w:t xml:space="preserve">ska redovisas under posten </w:t>
      </w:r>
      <w:r w:rsidR="00A96686" w:rsidRPr="00A96686">
        <w:rPr>
          <w:i/>
          <w:iCs/>
        </w:rPr>
        <w:t>Godstransporter</w:t>
      </w:r>
      <w:r>
        <w:t xml:space="preserve">. Om regionen inte har möjlighet att dela upp utsläppen för tvättjänsten och transporten kan de samlade utsläppen redovisas under ”Tvätteritjänst, verksamhet”. Regionen </w:t>
      </w:r>
      <w:r w:rsidR="00396D2C">
        <w:t>bör</w:t>
      </w:r>
      <w:r>
        <w:t xml:space="preserve"> efterfråga särredovisad information från sina leverantörer. </w:t>
      </w:r>
    </w:p>
    <w:p w14:paraId="39DAE324" w14:textId="77777777" w:rsidR="00DC6635" w:rsidRPr="00856049" w:rsidRDefault="00DC6635" w:rsidP="00DC6635">
      <w:pPr>
        <w:pStyle w:val="Rubrik4"/>
        <w:rPr>
          <w:i/>
        </w:rPr>
      </w:pPr>
      <w:r w:rsidRPr="00CE25EC">
        <w:t>Underlag och beräkningsmetod</w:t>
      </w:r>
    </w:p>
    <w:p w14:paraId="1D48C02F" w14:textId="77777777" w:rsidR="00DC6635" w:rsidRDefault="00DC6635" w:rsidP="00DC6635">
      <w:r w:rsidRPr="009E296F">
        <w:rPr>
          <w:i/>
        </w:rPr>
        <w:t>Exempel – samägt tvätteri med annan region</w:t>
      </w:r>
      <w:r>
        <w:t xml:space="preserve">: </w:t>
      </w:r>
      <w:r>
        <w:br/>
        <w:t xml:space="preserve">Beräkna utsläpp till följd av energianvändning för tvätteriet på samma sätt som för egna fastigheter. Fördela de utsläppen mellan ägarna efter andel av den totala vikten textilier som tvättas för respektive ägare. </w:t>
      </w:r>
      <w:r w:rsidR="00B377C4">
        <w:t xml:space="preserve">För transporter ska den </w:t>
      </w:r>
      <w:r w:rsidR="00CA4658">
        <w:t>aktivitetsdata</w:t>
      </w:r>
      <w:r w:rsidRPr="007E74CA">
        <w:t xml:space="preserve"> för transporter av textilerna</w:t>
      </w:r>
      <w:r w:rsidR="00CA4658">
        <w:t xml:space="preserve"> tas fram</w:t>
      </w:r>
      <w:r w:rsidRPr="007E74CA">
        <w:t xml:space="preserve"> för det samäga tvätteriet.</w:t>
      </w:r>
      <w:r>
        <w:t xml:space="preserve"> Fördela utsläppen för transporter med utgångspunkt från uppskattning av andel fordonskm som utförs för respektive ägare.</w:t>
      </w:r>
      <w:r w:rsidR="000F2992">
        <w:t xml:space="preserve"> Lägg märke till att dessa utsläpp inte ska rapporteras under posten </w:t>
      </w:r>
      <w:r w:rsidR="000F2992" w:rsidRPr="00FA4457">
        <w:rPr>
          <w:i/>
          <w:iCs/>
        </w:rPr>
        <w:t>Tvätteritjänster</w:t>
      </w:r>
      <w:r w:rsidR="000F2992">
        <w:t xml:space="preserve"> utan under </w:t>
      </w:r>
      <w:r w:rsidR="000F2992" w:rsidRPr="00FA4457">
        <w:rPr>
          <w:i/>
          <w:iCs/>
        </w:rPr>
        <w:t>Fastigheter</w:t>
      </w:r>
      <w:r w:rsidR="000F2992">
        <w:t xml:space="preserve"> och </w:t>
      </w:r>
      <w:r w:rsidR="00FA4457" w:rsidRPr="00FA4457">
        <w:rPr>
          <w:i/>
          <w:iCs/>
        </w:rPr>
        <w:t>Godstransporter</w:t>
      </w:r>
      <w:r w:rsidR="00FA4457">
        <w:t>.</w:t>
      </w:r>
    </w:p>
    <w:p w14:paraId="0B019854" w14:textId="77777777" w:rsidR="00DC6635" w:rsidRDefault="00DC6635" w:rsidP="00DC6635">
      <w:r w:rsidRPr="009E296F">
        <w:rPr>
          <w:i/>
        </w:rPr>
        <w:t>Exempel - upphandlad tvätteritjänst</w:t>
      </w:r>
      <w:r>
        <w:t xml:space="preserve">: </w:t>
      </w:r>
      <w:r>
        <w:br/>
        <w:t xml:space="preserve">Regionen kan be leverantören om beräknat utsläpp per kg tvätt. Denna utsläppsfaktor bör omfatta så stor del av tvätteriets totala klimatpåverkan som möjligt, men minst energianvändning i fastigheter och transporter. </w:t>
      </w:r>
      <w:r w:rsidR="00C104EA">
        <w:t xml:space="preserve">Data kan även läggas in för </w:t>
      </w:r>
      <w:r w:rsidR="00630B67">
        <w:t>gas</w:t>
      </w:r>
      <w:r w:rsidR="00E1543C">
        <w:t>förbrukning</w:t>
      </w:r>
      <w:r w:rsidR="00872D9B">
        <w:t xml:space="preserve"> och </w:t>
      </w:r>
      <w:r w:rsidR="00E1543C">
        <w:t>elanvändning</w:t>
      </w:r>
      <w:r w:rsidR="00524423">
        <w:t xml:space="preserve"> per kg tvätt</w:t>
      </w:r>
      <w:r w:rsidR="00872D9B">
        <w:t>. R</w:t>
      </w:r>
      <w:r>
        <w:t>egionen bör säkerställa redan i upphandlingsfasen att sådan statistik kan erhållas.</w:t>
      </w:r>
    </w:p>
    <w:p w14:paraId="573D8C68" w14:textId="77777777" w:rsidR="00DC6635" w:rsidRPr="00BB7C6C" w:rsidRDefault="00DC6635" w:rsidP="00DC6635">
      <w:r>
        <w:t xml:space="preserve">Om det inte är möjligt att få den typen av statistik kan man begära underlagsuppgifter som kan ligga till grund för egna klimatberäkningar; användning av bränslen och </w:t>
      </w:r>
      <w:r w:rsidRPr="00AE4F02">
        <w:t xml:space="preserve">el </w:t>
      </w:r>
      <w:r>
        <w:t xml:space="preserve">till fastigheten, körda km åt regionen tillsammans med bränslemix i de fordon som de använder tillsammans med </w:t>
      </w:r>
      <w:r w:rsidRPr="00AE4F02">
        <w:t>antal tvättade kg</w:t>
      </w:r>
      <w:r>
        <w:t xml:space="preserve"> totalt och åt regionen</w:t>
      </w:r>
      <w:r w:rsidRPr="00AE4F02">
        <w:t xml:space="preserve">. </w:t>
      </w:r>
      <w:r w:rsidR="00B44B22">
        <w:t xml:space="preserve">Lägg märke till att utsläpp från transporter ska rapporteras under </w:t>
      </w:r>
      <w:r w:rsidR="00B44B22" w:rsidRPr="00B44B22">
        <w:rPr>
          <w:i/>
          <w:iCs/>
        </w:rPr>
        <w:t>Godstransporter</w:t>
      </w:r>
      <w:r w:rsidR="00B44B22">
        <w:t>.</w:t>
      </w:r>
    </w:p>
    <w:p w14:paraId="5D85FD69" w14:textId="70494359" w:rsidR="00DE3385" w:rsidRPr="00273768" w:rsidRDefault="00DC6635" w:rsidP="00DE3385">
      <w:pPr>
        <w:rPr>
          <w:bCs/>
        </w:rPr>
      </w:pPr>
      <w:r w:rsidRPr="005D10FF">
        <w:t>Posten redovisas i scope 3</w:t>
      </w:r>
      <w:r w:rsidR="005D10FF">
        <w:rPr>
          <w:b/>
        </w:rPr>
        <w:t xml:space="preserve"> </w:t>
      </w:r>
      <w:r w:rsidR="005D10FF" w:rsidRPr="00C50EFC">
        <w:rPr>
          <w:bCs/>
        </w:rPr>
        <w:t>eller i scope 1 om tjänsten bedrivs i egen regi</w:t>
      </w:r>
      <w:r w:rsidRPr="00C50EFC">
        <w:rPr>
          <w:bCs/>
        </w:rPr>
        <w:t>.</w:t>
      </w:r>
      <w:r w:rsidR="00146625" w:rsidRPr="00563A15">
        <w:rPr>
          <w:bCs/>
        </w:rPr>
        <w:t xml:space="preserve"> </w:t>
      </w:r>
      <w:bookmarkStart w:id="75" w:name="_Toc92867345"/>
      <w:bookmarkStart w:id="76" w:name="_Toc93482416"/>
    </w:p>
    <w:p w14:paraId="78578D11" w14:textId="77777777" w:rsidR="00E14ED5" w:rsidRDefault="00146625" w:rsidP="00DF56D9">
      <w:pPr>
        <w:pStyle w:val="Rubrik3"/>
      </w:pPr>
      <w:bookmarkStart w:id="77" w:name="_Toc152920049"/>
      <w:r>
        <w:t xml:space="preserve">Inköp av varor - </w:t>
      </w:r>
      <w:r w:rsidR="00E14ED5">
        <w:t>Livsmedel</w:t>
      </w:r>
      <w:bookmarkEnd w:id="75"/>
      <w:bookmarkEnd w:id="76"/>
      <w:bookmarkEnd w:id="77"/>
    </w:p>
    <w:p w14:paraId="51CBC2E8" w14:textId="77777777" w:rsidR="009627B0" w:rsidRDefault="009627B0" w:rsidP="009627B0">
      <w:pPr>
        <w:pStyle w:val="Rubrik4"/>
      </w:pPr>
      <w:r w:rsidRPr="00373259">
        <w:t>Omfattning/avgränsningar</w:t>
      </w:r>
    </w:p>
    <w:p w14:paraId="11011055" w14:textId="77777777" w:rsidR="009627B0" w:rsidRPr="00BB7C6C" w:rsidRDefault="009627B0" w:rsidP="009627B0">
      <w:r>
        <w:t xml:space="preserve">Denna post bör omfatta samtliga inköp </w:t>
      </w:r>
      <w:r w:rsidR="00F50F46">
        <w:t>av livsmedel och om möjligt även färdiglagad mat</w:t>
      </w:r>
      <w:r w:rsidR="00F94717">
        <w:t xml:space="preserve">, exempelvis </w:t>
      </w:r>
      <w:r w:rsidR="00F50F46" w:rsidRPr="00B8187A">
        <w:t xml:space="preserve">till </w:t>
      </w:r>
      <w:r w:rsidRPr="00B8187A">
        <w:t>sjukhusrestauranger, patientportioner, skolor</w:t>
      </w:r>
      <w:r w:rsidR="00F94717" w:rsidRPr="00B8187A">
        <w:t xml:space="preserve"> och</w:t>
      </w:r>
      <w:r w:rsidRPr="00B8187A">
        <w:t xml:space="preserve"> kulturverksamheter. </w:t>
      </w:r>
      <w:r w:rsidR="00DF00E0" w:rsidRPr="00B8187A">
        <w:t>Även upphandlad måltidsservice</w:t>
      </w:r>
      <w:r w:rsidR="00DE3385" w:rsidRPr="00B8187A">
        <w:t xml:space="preserve"> samt livsmedel såsom kaffe mm från kaffeautomatsleverantörer</w:t>
      </w:r>
      <w:r w:rsidR="00DF00E0" w:rsidRPr="00B8187A">
        <w:t xml:space="preserve"> bör ingå</w:t>
      </w:r>
      <w:r w:rsidR="00DF00E0">
        <w:t xml:space="preserve"> i så stor utsträckning som möjligt. Om uppgifter för detta saknas är det viktigt att tydliggöra vad som innefattas och inte i de data som rapporteras.</w:t>
      </w:r>
    </w:p>
    <w:p w14:paraId="70DC3C61" w14:textId="77777777" w:rsidR="009627B0" w:rsidRDefault="009627B0" w:rsidP="009627B0">
      <w:pPr>
        <w:pStyle w:val="Rubrik4"/>
        <w:rPr>
          <w:i/>
        </w:rPr>
      </w:pPr>
      <w:r w:rsidRPr="00373259">
        <w:t>Underlag och beräkningsmetod</w:t>
      </w:r>
    </w:p>
    <w:p w14:paraId="4C055B96" w14:textId="77777777" w:rsidR="00A4034C" w:rsidRDefault="00F50F46" w:rsidP="00A4034C">
      <w:r>
        <w:t>Uppgifter om livsmedlens k</w:t>
      </w:r>
      <w:r w:rsidR="00FA462D">
        <w:t>limatpåverkan kan erhåll</w:t>
      </w:r>
      <w:r>
        <w:t>a</w:t>
      </w:r>
      <w:r w:rsidR="00FA462D">
        <w:t xml:space="preserve">s </w:t>
      </w:r>
      <w:r>
        <w:t xml:space="preserve">via inköpssystem, </w:t>
      </w:r>
      <w:r w:rsidR="00FA462D">
        <w:t xml:space="preserve">från </w:t>
      </w:r>
      <w:r>
        <w:t>livsmedels</w:t>
      </w:r>
      <w:r w:rsidR="00FA462D">
        <w:t>leverantöre</w:t>
      </w:r>
      <w:r>
        <w:t>r</w:t>
      </w:r>
      <w:r w:rsidR="007B23A2">
        <w:t xml:space="preserve"> </w:t>
      </w:r>
      <w:r>
        <w:t>eller från system för måltidshantering</w:t>
      </w:r>
      <w:r w:rsidR="00FA462D">
        <w:t xml:space="preserve">. </w:t>
      </w:r>
      <w:r w:rsidR="00EB7759">
        <w:t>Om data över klimatpåverkan ej finns tillgänglig så</w:t>
      </w:r>
      <w:r w:rsidR="00A4034C">
        <w:t xml:space="preserve"> kan regionen rapportera in en totalkostnad för inköpta livsmedel i verktyget. </w:t>
      </w:r>
      <w:r>
        <w:t>Omkostnader för tillagning bör då vara exkluderade.</w:t>
      </w:r>
    </w:p>
    <w:p w14:paraId="04975732" w14:textId="77777777" w:rsidR="00A4034C" w:rsidRPr="00067FED" w:rsidRDefault="00A4034C" w:rsidP="00A4034C">
      <w:r>
        <w:t xml:space="preserve">Posten redovisas i scope 3. </w:t>
      </w:r>
    </w:p>
    <w:p w14:paraId="3CF8DA81" w14:textId="77777777" w:rsidR="006F0DA2" w:rsidRDefault="006F0DA2" w:rsidP="005215CC">
      <w:bookmarkStart w:id="78" w:name="_Toc92867346"/>
    </w:p>
    <w:p w14:paraId="31E34953" w14:textId="77777777" w:rsidR="00E665D3" w:rsidRDefault="00146625" w:rsidP="00DF56D9">
      <w:pPr>
        <w:pStyle w:val="Rubrik3"/>
      </w:pPr>
      <w:bookmarkStart w:id="79" w:name="_Toc93482417"/>
      <w:bookmarkStart w:id="80" w:name="_Toc152920050"/>
      <w:r>
        <w:t xml:space="preserve">Inköp av varor - </w:t>
      </w:r>
      <w:r w:rsidR="00D50242">
        <w:t>IT och kommunikation</w:t>
      </w:r>
      <w:bookmarkEnd w:id="78"/>
      <w:bookmarkEnd w:id="79"/>
      <w:bookmarkEnd w:id="80"/>
    </w:p>
    <w:p w14:paraId="7780D369" w14:textId="77777777" w:rsidR="00E665D3" w:rsidRPr="004C5088" w:rsidRDefault="00E665D3" w:rsidP="004E1D0A">
      <w:pPr>
        <w:pStyle w:val="Rubrik4"/>
      </w:pPr>
      <w:r w:rsidRPr="004C5088">
        <w:t>Omfattning</w:t>
      </w:r>
      <w:r w:rsidR="00C34FD4">
        <w:t>/avgränsningar</w:t>
      </w:r>
    </w:p>
    <w:p w14:paraId="243B5051" w14:textId="77777777" w:rsidR="00A22681" w:rsidRDefault="00D82685" w:rsidP="009627B0">
      <w:pPr>
        <w:rPr>
          <w:i/>
          <w:iCs/>
        </w:rPr>
      </w:pPr>
      <w:r>
        <w:t xml:space="preserve">I denna post inkluderas inköpt </w:t>
      </w:r>
      <w:r w:rsidR="00E665D3">
        <w:t>IT</w:t>
      </w:r>
      <w:r w:rsidR="00C564DA">
        <w:t>-</w:t>
      </w:r>
      <w:r w:rsidR="00AE4CB5">
        <w:t xml:space="preserve"> och kommunikationsutrustning </w:t>
      </w:r>
      <w:r w:rsidR="00BE4981">
        <w:t>samt tillhörande tjänster</w:t>
      </w:r>
      <w:r w:rsidR="00104DD4">
        <w:t>.</w:t>
      </w:r>
      <w:r w:rsidR="00F44135" w:rsidRPr="00F44135">
        <w:t xml:space="preserve"> </w:t>
      </w:r>
      <w:r w:rsidR="00F44135">
        <w:t xml:space="preserve">För uppdelning/avgränsning av data </w:t>
      </w:r>
      <w:r w:rsidR="00282D0D">
        <w:t>föreslås att</w:t>
      </w:r>
      <w:r w:rsidR="00F44135">
        <w:t xml:space="preserve"> regionen utgå</w:t>
      </w:r>
      <w:r w:rsidR="00282D0D">
        <w:t>r</w:t>
      </w:r>
      <w:r w:rsidR="00F44135">
        <w:t xml:space="preserve"> från LfU:s kategoriträd, kategori 3, </w:t>
      </w:r>
      <w:r w:rsidR="00F44135" w:rsidRPr="008D17CF">
        <w:rPr>
          <w:i/>
          <w:iCs/>
        </w:rPr>
        <w:t>”</w:t>
      </w:r>
      <w:r w:rsidR="00F44135">
        <w:rPr>
          <w:i/>
          <w:iCs/>
        </w:rPr>
        <w:t>IT och kommunikation</w:t>
      </w:r>
      <w:r w:rsidR="00F44135" w:rsidRPr="008D17CF">
        <w:rPr>
          <w:i/>
          <w:iCs/>
        </w:rPr>
        <w:t>”</w:t>
      </w:r>
      <w:r w:rsidR="00F44135">
        <w:rPr>
          <w:i/>
          <w:iCs/>
        </w:rPr>
        <w:t xml:space="preserve">. </w:t>
      </w:r>
    </w:p>
    <w:p w14:paraId="1284FFEE" w14:textId="77777777" w:rsidR="003974D6" w:rsidRPr="00C57A62" w:rsidRDefault="00D82685" w:rsidP="00C57A62">
      <w:pPr>
        <w:pStyle w:val="Rubrik4"/>
      </w:pPr>
      <w:r w:rsidRPr="004C5088">
        <w:t>Underlag och beräkningsmetod</w:t>
      </w:r>
    </w:p>
    <w:p w14:paraId="135B1266" w14:textId="77777777" w:rsidR="009C5E24" w:rsidRDefault="009C5E24" w:rsidP="009C5E24">
      <w:r>
        <w:t xml:space="preserve">I de fall där information om klimatpåverkan tillhandahålls av leverantören kan denna information matas in i verktyget. </w:t>
      </w:r>
    </w:p>
    <w:p w14:paraId="55F4BF88" w14:textId="0EBCF0E1" w:rsidR="00FD5C86" w:rsidRDefault="00EC1327" w:rsidP="00301573">
      <w:r>
        <w:t xml:space="preserve">Om information inte finns tillgänglig kan </w:t>
      </w:r>
      <w:r w:rsidR="00BE5DF0">
        <w:t>regionen rapportera in en kostnad för inköp</w:t>
      </w:r>
      <w:r>
        <w:t xml:space="preserve"> i kategorin.</w:t>
      </w:r>
      <w:r w:rsidR="004E1D0A">
        <w:t>.</w:t>
      </w:r>
      <w:r w:rsidR="00DC5D55">
        <w:t xml:space="preserve"> Utsläppsfaktorn som används vid beräkning är från Region Stockholms miljöspendanalys 2021, med namn ” IT och kommunikation”</w:t>
      </w:r>
      <w:bookmarkStart w:id="81" w:name="_Toc92867347"/>
    </w:p>
    <w:p w14:paraId="2964A7B0" w14:textId="77777777" w:rsidR="00737C99" w:rsidRDefault="006F0A12" w:rsidP="00DF56D9">
      <w:pPr>
        <w:pStyle w:val="Rubrik3"/>
      </w:pPr>
      <w:bookmarkStart w:id="82" w:name="_Toc93482418"/>
      <w:bookmarkStart w:id="83" w:name="_Toc152920051"/>
      <w:r>
        <w:t xml:space="preserve">Inköp av varor - </w:t>
      </w:r>
      <w:r w:rsidR="00737C99">
        <w:t>Textilier</w:t>
      </w:r>
      <w:bookmarkEnd w:id="81"/>
      <w:bookmarkEnd w:id="82"/>
      <w:bookmarkEnd w:id="83"/>
    </w:p>
    <w:p w14:paraId="1581D844" w14:textId="77777777" w:rsidR="00737C99" w:rsidRPr="008D17CF" w:rsidRDefault="00737C99" w:rsidP="00737C99">
      <w:pPr>
        <w:pStyle w:val="Rubrik4"/>
        <w:rPr>
          <w:i/>
        </w:rPr>
      </w:pPr>
      <w:r w:rsidRPr="008D17CF">
        <w:t>Omfattning</w:t>
      </w:r>
      <w:r w:rsidR="00C34FD4">
        <w:t>/avgränsningar</w:t>
      </w:r>
    </w:p>
    <w:p w14:paraId="31526D90" w14:textId="77777777" w:rsidR="00737C99" w:rsidRDefault="00737C99" w:rsidP="00737C99">
      <w:r>
        <w:t xml:space="preserve">I denna post inkluderas inköp </w:t>
      </w:r>
      <w:r w:rsidR="00F95F4F">
        <w:t xml:space="preserve">och hyra </w:t>
      </w:r>
      <w:r>
        <w:t>av textilier</w:t>
      </w:r>
      <w:r w:rsidR="00324CAB">
        <w:t xml:space="preserve">, till exempel arbetskläder för sjukvårdspersonal, </w:t>
      </w:r>
      <w:r w:rsidR="006929E0">
        <w:t xml:space="preserve">bäddutrustning </w:t>
      </w:r>
      <w:r w:rsidR="003D480A">
        <w:t>och</w:t>
      </w:r>
      <w:r w:rsidR="006929E0">
        <w:t xml:space="preserve"> patientkläder</w:t>
      </w:r>
      <w:r>
        <w:t xml:space="preserve">. </w:t>
      </w:r>
      <w:r w:rsidR="00F44135">
        <w:t xml:space="preserve">För uppdelning/avgränsning av data </w:t>
      </w:r>
      <w:r w:rsidR="002B73DB">
        <w:t>föreslås att</w:t>
      </w:r>
      <w:r w:rsidR="00F44135">
        <w:t xml:space="preserve"> regionen utgå</w:t>
      </w:r>
      <w:r w:rsidR="002B73DB">
        <w:t>r</w:t>
      </w:r>
      <w:r w:rsidR="00F44135">
        <w:t xml:space="preserve"> från LfU:s kategoriträd, kategori 6.5.2, </w:t>
      </w:r>
      <w:r w:rsidR="00F44135" w:rsidRPr="008D17CF">
        <w:rPr>
          <w:i/>
          <w:iCs/>
        </w:rPr>
        <w:t>”</w:t>
      </w:r>
      <w:r w:rsidR="00F44135">
        <w:rPr>
          <w:i/>
          <w:iCs/>
        </w:rPr>
        <w:t>Textilier</w:t>
      </w:r>
      <w:r w:rsidR="00F44135" w:rsidRPr="008D17CF">
        <w:rPr>
          <w:i/>
          <w:iCs/>
        </w:rPr>
        <w:t>”</w:t>
      </w:r>
      <w:r w:rsidR="00F44135">
        <w:rPr>
          <w:i/>
          <w:iCs/>
        </w:rPr>
        <w:t xml:space="preserve">. </w:t>
      </w:r>
    </w:p>
    <w:p w14:paraId="42420461" w14:textId="77777777" w:rsidR="00737C99" w:rsidRPr="008D17CF" w:rsidRDefault="00737C99" w:rsidP="00737C99">
      <w:pPr>
        <w:pStyle w:val="Rubrik4"/>
        <w:rPr>
          <w:i/>
        </w:rPr>
      </w:pPr>
      <w:r w:rsidRPr="008D17CF">
        <w:t>Underlag och beräkningsmetod</w:t>
      </w:r>
    </w:p>
    <w:p w14:paraId="79AED99F" w14:textId="77777777" w:rsidR="001567B3" w:rsidRDefault="001567B3" w:rsidP="001567B3">
      <w:r>
        <w:t xml:space="preserve">I de fall där information om klimatpåverkan tillhandahålls av leverantören kan denna information matas in i verktyget. </w:t>
      </w:r>
    </w:p>
    <w:p w14:paraId="43DFA78A" w14:textId="4268230A" w:rsidR="001567B3" w:rsidRDefault="001567B3" w:rsidP="001567B3">
      <w:r>
        <w:t xml:space="preserve">Om information inte finns tillgänglig kan regionen rapportera in en kostnad för inköp i kategorin. </w:t>
      </w:r>
      <w:r w:rsidR="006F74BB">
        <w:t>Utsläppsfaktorn som används vid beräkning är från Region Stockholms miljöspendanalys 2021, med namn ” Textilier”</w:t>
      </w:r>
    </w:p>
    <w:p w14:paraId="762B3FDB" w14:textId="77777777" w:rsidR="00517C79" w:rsidRDefault="00517C79" w:rsidP="001567B3"/>
    <w:p w14:paraId="743DB5E2" w14:textId="77777777" w:rsidR="00802ED3" w:rsidRDefault="009870DC" w:rsidP="00DF56D9">
      <w:pPr>
        <w:pStyle w:val="Rubrik3"/>
      </w:pPr>
      <w:bookmarkStart w:id="84" w:name="_Toc92867348"/>
      <w:bookmarkStart w:id="85" w:name="_Toc93482419"/>
      <w:bookmarkStart w:id="86" w:name="_Toc152920052"/>
      <w:r>
        <w:t xml:space="preserve">Inköp av varor - </w:t>
      </w:r>
      <w:r w:rsidR="00802ED3">
        <w:t>Möbler</w:t>
      </w:r>
      <w:bookmarkEnd w:id="84"/>
      <w:bookmarkEnd w:id="85"/>
      <w:bookmarkEnd w:id="86"/>
    </w:p>
    <w:p w14:paraId="7E778CB8" w14:textId="77777777" w:rsidR="00802ED3" w:rsidRPr="004E1D0A" w:rsidRDefault="00802ED3" w:rsidP="004E1D0A">
      <w:pPr>
        <w:pStyle w:val="Rubrik4"/>
      </w:pPr>
      <w:r w:rsidRPr="004E1D0A">
        <w:t>Omfattning</w:t>
      </w:r>
      <w:r w:rsidR="00C34FD4">
        <w:t>/avgränsningar</w:t>
      </w:r>
    </w:p>
    <w:p w14:paraId="4B5E6528" w14:textId="77777777" w:rsidR="00BC57D0" w:rsidRDefault="003B3C21" w:rsidP="00BC57D0">
      <w:r>
        <w:t xml:space="preserve">I denna post inkluderas </w:t>
      </w:r>
      <w:r w:rsidR="006C17D2">
        <w:t>inköp av möbler</w:t>
      </w:r>
      <w:r w:rsidR="005625B6">
        <w:t xml:space="preserve"> för kontor och offentlig miljö. </w:t>
      </w:r>
      <w:r w:rsidR="00F44135">
        <w:t xml:space="preserve">För uppdelning/avgränsning av data </w:t>
      </w:r>
      <w:r w:rsidR="000F1242">
        <w:t xml:space="preserve">föreslås </w:t>
      </w:r>
      <w:r w:rsidR="00F44135">
        <w:t xml:space="preserve">regionen att utgå från LfU:s kategoriträd, kategori 6.8, </w:t>
      </w:r>
      <w:r w:rsidR="00F44135" w:rsidRPr="008D17CF">
        <w:rPr>
          <w:i/>
          <w:iCs/>
        </w:rPr>
        <w:t>”</w:t>
      </w:r>
      <w:r w:rsidR="00F44135">
        <w:rPr>
          <w:i/>
          <w:iCs/>
        </w:rPr>
        <w:t>Möbler</w:t>
      </w:r>
      <w:r w:rsidR="00F44135" w:rsidRPr="008D17CF">
        <w:rPr>
          <w:i/>
          <w:iCs/>
        </w:rPr>
        <w:t>”</w:t>
      </w:r>
      <w:r w:rsidR="00F44135">
        <w:rPr>
          <w:i/>
          <w:iCs/>
        </w:rPr>
        <w:t>.</w:t>
      </w:r>
    </w:p>
    <w:p w14:paraId="7F5B822C" w14:textId="77777777" w:rsidR="00BC57D0" w:rsidRPr="008D17CF" w:rsidRDefault="00BC57D0" w:rsidP="00BC57D0">
      <w:pPr>
        <w:pStyle w:val="Rubrik4"/>
        <w:rPr>
          <w:i/>
        </w:rPr>
      </w:pPr>
      <w:r w:rsidRPr="008D17CF">
        <w:t>Underlag och beräkningsmetod</w:t>
      </w:r>
    </w:p>
    <w:p w14:paraId="749DDF99" w14:textId="77777777" w:rsidR="001567B3" w:rsidRDefault="001567B3" w:rsidP="001567B3">
      <w:r>
        <w:t xml:space="preserve">I de fall där information om klimatpåverkan tillhandahålls av leverantören kan denna information matas in i verktyget. </w:t>
      </w:r>
    </w:p>
    <w:p w14:paraId="6797D61C" w14:textId="30151B90" w:rsidR="001567B3" w:rsidRDefault="001567B3" w:rsidP="001567B3">
      <w:r>
        <w:t xml:space="preserve">Om information inte finns tillgänglig kan regionen rapportera in en kostnad för inköp i kategorin. </w:t>
      </w:r>
      <w:r w:rsidR="006F74BB">
        <w:t>Utsläppsfaktorn som används vid beräkning är från Region Stockholms miljöspendanalys 2021, med namn ” Möbler”</w:t>
      </w:r>
    </w:p>
    <w:p w14:paraId="46FDCECE" w14:textId="77777777" w:rsidR="00DE7A70" w:rsidRDefault="009870DC" w:rsidP="00DF56D9">
      <w:pPr>
        <w:pStyle w:val="Rubrik3"/>
      </w:pPr>
      <w:bookmarkStart w:id="87" w:name="_Toc92867349"/>
      <w:bookmarkStart w:id="88" w:name="_Toc93482420"/>
      <w:bookmarkStart w:id="89" w:name="_Toc152920053"/>
      <w:r>
        <w:t xml:space="preserve">Inköp av varor - </w:t>
      </w:r>
      <w:r w:rsidR="00DE7A70">
        <w:t>Hjälpmedel</w:t>
      </w:r>
      <w:bookmarkEnd w:id="87"/>
      <w:bookmarkEnd w:id="88"/>
      <w:bookmarkEnd w:id="89"/>
    </w:p>
    <w:p w14:paraId="11F39E7D" w14:textId="77777777" w:rsidR="00DE7A70" w:rsidRPr="008D17CF" w:rsidRDefault="00DE7A70" w:rsidP="00DE7A70">
      <w:pPr>
        <w:pStyle w:val="Rubrik4"/>
        <w:rPr>
          <w:i/>
        </w:rPr>
      </w:pPr>
      <w:r w:rsidRPr="008D17CF">
        <w:t>Omfattning</w:t>
      </w:r>
      <w:r w:rsidR="00C34FD4">
        <w:t>/avgränsningar</w:t>
      </w:r>
    </w:p>
    <w:p w14:paraId="4A13D93B" w14:textId="77777777" w:rsidR="00DE7A70" w:rsidRDefault="00DE7A70" w:rsidP="00DE7A70">
      <w:r>
        <w:t xml:space="preserve">I denna post inkluderas </w:t>
      </w:r>
      <w:r w:rsidR="00FA1E1C">
        <w:t xml:space="preserve">inköp av </w:t>
      </w:r>
      <w:r w:rsidR="006C15F6">
        <w:t>funktions</w:t>
      </w:r>
      <w:r w:rsidR="00FA1E1C">
        <w:t>hjälpmedel</w:t>
      </w:r>
      <w:r>
        <w:t xml:space="preserve">. </w:t>
      </w:r>
      <w:r w:rsidR="00744C38">
        <w:t xml:space="preserve">För uppdelning/avgränsning av data </w:t>
      </w:r>
      <w:r w:rsidR="00FC51EB">
        <w:t>föreslås att</w:t>
      </w:r>
      <w:r w:rsidR="00744C38">
        <w:t xml:space="preserve"> regionen utgå</w:t>
      </w:r>
      <w:r w:rsidR="00FC51EB">
        <w:t>r</w:t>
      </w:r>
      <w:r w:rsidR="00744C38">
        <w:t xml:space="preserve"> från LfU:s kategoriträd, kategori 7.1, </w:t>
      </w:r>
      <w:r w:rsidR="00744C38" w:rsidRPr="008D17CF">
        <w:rPr>
          <w:i/>
          <w:iCs/>
        </w:rPr>
        <w:t>”</w:t>
      </w:r>
      <w:r w:rsidR="00744C38">
        <w:rPr>
          <w:i/>
          <w:iCs/>
        </w:rPr>
        <w:t>Hjälpmedel</w:t>
      </w:r>
      <w:r w:rsidR="00744C38" w:rsidRPr="008D17CF">
        <w:rPr>
          <w:i/>
          <w:iCs/>
        </w:rPr>
        <w:t>”</w:t>
      </w:r>
      <w:r w:rsidR="00744C38">
        <w:rPr>
          <w:i/>
          <w:iCs/>
        </w:rPr>
        <w:t xml:space="preserve">. </w:t>
      </w:r>
    </w:p>
    <w:p w14:paraId="768192A2" w14:textId="77777777" w:rsidR="00DE7A70" w:rsidRPr="008D17CF" w:rsidRDefault="00DE7A70" w:rsidP="00DE7A70">
      <w:pPr>
        <w:pStyle w:val="Rubrik4"/>
        <w:rPr>
          <w:i/>
        </w:rPr>
      </w:pPr>
      <w:r w:rsidRPr="008D17CF">
        <w:t>Underlag och beräkningsmetod</w:t>
      </w:r>
    </w:p>
    <w:p w14:paraId="63E347C3" w14:textId="77777777" w:rsidR="00DE7A70" w:rsidRDefault="00744C38" w:rsidP="00DE7A70">
      <w:r>
        <w:t xml:space="preserve">I </w:t>
      </w:r>
      <w:r w:rsidR="00DE7A70">
        <w:t xml:space="preserve">de fall där information om klimatpåverkan tillhandahålls av leverantören kan denna information matas in i verktyget. </w:t>
      </w:r>
    </w:p>
    <w:p w14:paraId="6B801C4B" w14:textId="5276351A" w:rsidR="006F0DA2" w:rsidRDefault="00DE7A70" w:rsidP="005215CC">
      <w:r>
        <w:t xml:space="preserve">Om information inte finns tillgänglig kan regionen rapportera in en kostnad för inköp i </w:t>
      </w:r>
      <w:r w:rsidR="001567B3">
        <w:t>kategorin.</w:t>
      </w:r>
      <w:r>
        <w:t xml:space="preserve"> </w:t>
      </w:r>
      <w:r w:rsidR="00631FA7">
        <w:t xml:space="preserve">Utsläppsfaktorn som används vid beräkning är från Region Stockholms miljöspendanalys 2021, med namn ” </w:t>
      </w:r>
      <w:r w:rsidR="006F74BB">
        <w:t>Hjälpmedel</w:t>
      </w:r>
      <w:r w:rsidR="00631FA7">
        <w:t>”</w:t>
      </w:r>
      <w:bookmarkStart w:id="90" w:name="_Toc92867350"/>
    </w:p>
    <w:p w14:paraId="2CCA519F" w14:textId="77777777" w:rsidR="009A353D" w:rsidRDefault="009870DC" w:rsidP="00DF56D9">
      <w:pPr>
        <w:pStyle w:val="Rubrik3"/>
      </w:pPr>
      <w:bookmarkStart w:id="91" w:name="_Toc93482421"/>
      <w:bookmarkStart w:id="92" w:name="_Toc152920054"/>
      <w:r>
        <w:t xml:space="preserve">Inköp av varor - </w:t>
      </w:r>
      <w:r w:rsidR="009A353D">
        <w:t>Medicinteknisk utrustning</w:t>
      </w:r>
      <w:bookmarkEnd w:id="90"/>
      <w:bookmarkEnd w:id="91"/>
      <w:bookmarkEnd w:id="92"/>
    </w:p>
    <w:p w14:paraId="68AA1BA6" w14:textId="77777777" w:rsidR="009A353D" w:rsidRPr="008D17CF" w:rsidRDefault="009A353D" w:rsidP="009A353D">
      <w:pPr>
        <w:pStyle w:val="Rubrik4"/>
        <w:rPr>
          <w:i/>
        </w:rPr>
      </w:pPr>
      <w:r w:rsidRPr="008D17CF">
        <w:t>Omfattning</w:t>
      </w:r>
      <w:r w:rsidR="00C34FD4">
        <w:t>/avgränsningar</w:t>
      </w:r>
    </w:p>
    <w:p w14:paraId="60F395CE" w14:textId="77777777" w:rsidR="009A353D" w:rsidRDefault="009A353D" w:rsidP="009A353D">
      <w:r>
        <w:t xml:space="preserve">I denna post inkluderas inköp av </w:t>
      </w:r>
      <w:r w:rsidR="003974A9">
        <w:t>medicinteknisk utrustning och kapitalvaror</w:t>
      </w:r>
      <w:r>
        <w:t xml:space="preserve">. </w:t>
      </w:r>
      <w:r w:rsidR="00744C38">
        <w:t xml:space="preserve">För uppdelning/avgränsning av data </w:t>
      </w:r>
      <w:r w:rsidR="00FC51EB">
        <w:t xml:space="preserve">föreslås att </w:t>
      </w:r>
      <w:r w:rsidR="00744C38">
        <w:t>regionen utgå</w:t>
      </w:r>
      <w:r w:rsidR="00FC51EB">
        <w:t>r</w:t>
      </w:r>
      <w:r w:rsidR="00744C38">
        <w:t xml:space="preserve"> från LfU:s kategoriträd, kategori 10, </w:t>
      </w:r>
      <w:r w:rsidR="00744C38" w:rsidRPr="008D17CF">
        <w:rPr>
          <w:i/>
          <w:iCs/>
        </w:rPr>
        <w:t>”</w:t>
      </w:r>
      <w:r w:rsidR="00744C38" w:rsidRPr="00276B28">
        <w:rPr>
          <w:i/>
          <w:iCs/>
        </w:rPr>
        <w:t>Medicinteknik och relaterade förbrukningsvaror</w:t>
      </w:r>
      <w:r w:rsidR="00744C38" w:rsidRPr="008D17CF">
        <w:rPr>
          <w:i/>
          <w:iCs/>
        </w:rPr>
        <w:t>”</w:t>
      </w:r>
      <w:r w:rsidR="00744C38">
        <w:rPr>
          <w:i/>
          <w:iCs/>
        </w:rPr>
        <w:t xml:space="preserve">. </w:t>
      </w:r>
    </w:p>
    <w:p w14:paraId="7BC6EC41" w14:textId="77777777" w:rsidR="009A353D" w:rsidRPr="008D17CF" w:rsidRDefault="009A353D" w:rsidP="009A353D">
      <w:pPr>
        <w:pStyle w:val="Rubrik4"/>
        <w:rPr>
          <w:i/>
        </w:rPr>
      </w:pPr>
      <w:r w:rsidRPr="008D17CF">
        <w:t>Underlag och beräkningsmetod</w:t>
      </w:r>
    </w:p>
    <w:p w14:paraId="19627373" w14:textId="77777777" w:rsidR="009A353D" w:rsidRDefault="009A353D" w:rsidP="009A353D">
      <w:r>
        <w:t xml:space="preserve">I de fall där information om klimatpåverkan tillhandahålls av leverantören kan denna information matas in i verktyget. </w:t>
      </w:r>
    </w:p>
    <w:p w14:paraId="52A91601" w14:textId="527D42D0" w:rsidR="00FF11F4" w:rsidRDefault="009A353D" w:rsidP="005215CC">
      <w:r>
        <w:t xml:space="preserve">Om information inte finns tillgänglig kan regionen rapportera in en kostnad för inköp i kategorin. </w:t>
      </w:r>
      <w:r w:rsidR="00631FA7">
        <w:t>Utsläppsfaktorn som används vid beräkning är från Region Stockholms miljöspendanalys 2021, med namn ” Medicinteknisk utrustning”</w:t>
      </w:r>
      <w:bookmarkStart w:id="93" w:name="_Toc92867351"/>
    </w:p>
    <w:p w14:paraId="3BBE1761" w14:textId="77777777" w:rsidR="004B494B" w:rsidRDefault="006708EC" w:rsidP="00DF56D9">
      <w:pPr>
        <w:pStyle w:val="Rubrik3"/>
      </w:pPr>
      <w:bookmarkStart w:id="94" w:name="_Toc93482422"/>
      <w:bookmarkStart w:id="95" w:name="_Toc152920055"/>
      <w:r>
        <w:t xml:space="preserve">Inköp av varor - </w:t>
      </w:r>
      <w:r w:rsidR="004B494B" w:rsidRPr="008573C5">
        <w:t>Läkemedel</w:t>
      </w:r>
      <w:r w:rsidR="004B494B">
        <w:t>sanvändning i verksamheten</w:t>
      </w:r>
      <w:bookmarkEnd w:id="93"/>
      <w:bookmarkEnd w:id="94"/>
      <w:bookmarkEnd w:id="95"/>
    </w:p>
    <w:p w14:paraId="0693B71D" w14:textId="77777777" w:rsidR="004B494B" w:rsidRPr="00373259" w:rsidRDefault="004B494B" w:rsidP="004B494B">
      <w:pPr>
        <w:pStyle w:val="Rubrik4"/>
        <w:rPr>
          <w:i/>
        </w:rPr>
      </w:pPr>
      <w:r w:rsidRPr="00373259">
        <w:t>Omfattning/avgränsningar</w:t>
      </w:r>
    </w:p>
    <w:p w14:paraId="6BE482F6" w14:textId="77777777" w:rsidR="004B494B" w:rsidRDefault="004B494B" w:rsidP="004B494B">
      <w:r>
        <w:t xml:space="preserve">I denna post ingår läkemedel som används i verksamheten. </w:t>
      </w:r>
      <w:r w:rsidR="00744C38">
        <w:t xml:space="preserve">För uppdelning/avgränsning av data </w:t>
      </w:r>
      <w:r w:rsidR="00B83FB2">
        <w:t>föreslås att</w:t>
      </w:r>
      <w:r w:rsidR="00744C38">
        <w:t xml:space="preserve"> regionen utgå</w:t>
      </w:r>
      <w:r w:rsidR="00B83FB2">
        <w:t>r</w:t>
      </w:r>
      <w:r w:rsidR="00744C38">
        <w:t xml:space="preserve"> från LfU:s kategoriträd, kategori 8.1, </w:t>
      </w:r>
      <w:r w:rsidR="00744C38" w:rsidRPr="008D17CF">
        <w:rPr>
          <w:i/>
          <w:iCs/>
        </w:rPr>
        <w:t>”</w:t>
      </w:r>
      <w:r w:rsidR="00D666E4">
        <w:rPr>
          <w:i/>
          <w:iCs/>
        </w:rPr>
        <w:t>D</w:t>
      </w:r>
      <w:r w:rsidR="00744C38">
        <w:rPr>
          <w:i/>
          <w:iCs/>
        </w:rPr>
        <w:t>osdispensering</w:t>
      </w:r>
      <w:r w:rsidR="00744C38" w:rsidRPr="008D17CF">
        <w:rPr>
          <w:i/>
          <w:iCs/>
        </w:rPr>
        <w:t>”</w:t>
      </w:r>
      <w:r w:rsidR="00744C38">
        <w:rPr>
          <w:i/>
          <w:iCs/>
        </w:rPr>
        <w:t xml:space="preserve"> sam 8.2 ”Läkemedel”.</w:t>
      </w:r>
    </w:p>
    <w:p w14:paraId="388116BF" w14:textId="77777777" w:rsidR="004B494B" w:rsidRDefault="00D666E4" w:rsidP="00D666E4">
      <w:r w:rsidRPr="00631E8B">
        <w:t>Kategori ”</w:t>
      </w:r>
      <w:r w:rsidRPr="00631E8B">
        <w:rPr>
          <w:i/>
        </w:rPr>
        <w:t>8.3 Läkemedelsförsörjning</w:t>
      </w:r>
      <w:r w:rsidRPr="00631E8B">
        <w:t xml:space="preserve">” och förskrivna läkemedel exkluderas från denna post. Fortsatt analys behövs av vad som ingår i </w:t>
      </w:r>
      <w:r w:rsidRPr="00631E8B">
        <w:rPr>
          <w:i/>
        </w:rPr>
        <w:t>8.3 Läkemedelsförsörjning</w:t>
      </w:r>
      <w:r w:rsidRPr="00631E8B">
        <w:t xml:space="preserve"> och hur stor andel som kan beräknas bestå av läkemedel jämfört med tjänsteutförande. I de fall läkemedelsförsörjningen sker i egen regi är det sannolikt att inköpta läkemedel ingår i </w:t>
      </w:r>
      <w:r w:rsidRPr="00631E8B">
        <w:rPr>
          <w:i/>
        </w:rPr>
        <w:t>8.2 Läkemedel.</w:t>
      </w:r>
    </w:p>
    <w:p w14:paraId="347E4BB6" w14:textId="77777777" w:rsidR="004B494B" w:rsidRDefault="004B494B" w:rsidP="004B494B">
      <w:pPr>
        <w:pStyle w:val="Rubrik4"/>
        <w:rPr>
          <w:i/>
        </w:rPr>
      </w:pPr>
      <w:r w:rsidRPr="00373259">
        <w:t xml:space="preserve">Underlag och beräkningsmetod </w:t>
      </w:r>
    </w:p>
    <w:p w14:paraId="6C2B4F38" w14:textId="77777777" w:rsidR="005C491D" w:rsidRDefault="00744C38" w:rsidP="005C491D">
      <w:r>
        <w:t xml:space="preserve">I </w:t>
      </w:r>
      <w:r w:rsidR="005C491D">
        <w:t xml:space="preserve">de fall där information om klimatpåverkan tillhandahålls av leverantören kan denna information matas in i verktyget. </w:t>
      </w:r>
    </w:p>
    <w:p w14:paraId="548B09D5" w14:textId="634E73F9" w:rsidR="005C491D" w:rsidRDefault="005C491D" w:rsidP="005C491D">
      <w:r>
        <w:t xml:space="preserve">Om information inte finns tillgänglig kan regionen rapportera in en kostnad för inköp i kategorin. </w:t>
      </w:r>
      <w:r w:rsidR="00E076D1">
        <w:t xml:space="preserve">Utsläppsfaktorn som används vid beräkning är från Region Stockholms miljöspendanalys 2021, med namn ” </w:t>
      </w:r>
      <w:r w:rsidR="002D2B4C" w:rsidRPr="002D2B4C">
        <w:t>Läkemedelsanvändning i verksamheten</w:t>
      </w:r>
      <w:r w:rsidR="00E076D1">
        <w:t>”</w:t>
      </w:r>
    </w:p>
    <w:p w14:paraId="608AB3CD" w14:textId="5BDFF19C" w:rsidR="000B7FB6" w:rsidRDefault="004B494B" w:rsidP="004B6110">
      <w:r>
        <w:t>Posten redovisas i scope 3.</w:t>
      </w:r>
      <w:bookmarkStart w:id="96" w:name="_Toc92867352"/>
      <w:bookmarkStart w:id="97" w:name="_Toc93482423"/>
    </w:p>
    <w:p w14:paraId="12A3833A" w14:textId="3B597442" w:rsidR="0030323E" w:rsidRPr="00631E8B" w:rsidRDefault="0030323E" w:rsidP="0030323E">
      <w:pPr>
        <w:pStyle w:val="Rubrik3"/>
      </w:pPr>
      <w:bookmarkStart w:id="98" w:name="_Toc152920056"/>
      <w:r w:rsidRPr="00631E8B">
        <w:t xml:space="preserve">Inköp av varor </w:t>
      </w:r>
      <w:r w:rsidR="00020264" w:rsidRPr="00631E8B">
        <w:t>–</w:t>
      </w:r>
      <w:r w:rsidRPr="00631E8B">
        <w:t xml:space="preserve"> </w:t>
      </w:r>
      <w:r w:rsidR="00020264" w:rsidRPr="00631E8B">
        <w:t>Vård och tandvårdsrelaterade tjänster</w:t>
      </w:r>
      <w:bookmarkEnd w:id="98"/>
    </w:p>
    <w:p w14:paraId="25EDF39B" w14:textId="77777777" w:rsidR="0030323E" w:rsidRPr="00631E8B" w:rsidRDefault="0030323E" w:rsidP="0030323E">
      <w:pPr>
        <w:pStyle w:val="Rubrik4"/>
        <w:rPr>
          <w:i/>
        </w:rPr>
      </w:pPr>
      <w:r w:rsidRPr="00631E8B">
        <w:t>Omfattning/avgränsningar</w:t>
      </w:r>
    </w:p>
    <w:p w14:paraId="34A7493E" w14:textId="13F22F8A" w:rsidR="0030323E" w:rsidRPr="00631E8B" w:rsidRDefault="0030323E" w:rsidP="0030323E">
      <w:pPr>
        <w:rPr>
          <w:i/>
          <w:iCs/>
        </w:rPr>
      </w:pPr>
      <w:r w:rsidRPr="00631E8B">
        <w:t xml:space="preserve">I denna post inkluderas inköp av </w:t>
      </w:r>
      <w:r w:rsidR="00263B7B" w:rsidRPr="00631E8B">
        <w:t>vård och tandvårdsrelaterade tjänster</w:t>
      </w:r>
      <w:r w:rsidRPr="00631E8B">
        <w:t xml:space="preserve">. För uppdelning/avgränsning av data föreslås att regionen utgår från LfU:s kategoriträd och kategorierna </w:t>
      </w:r>
      <w:r w:rsidRPr="00631E8B">
        <w:rPr>
          <w:i/>
        </w:rPr>
        <w:t>7.4 Generella förbrukningsvaror, 7.5 Inkontinens och stomi, 7.6 Nutrition, 7.7 Sårvård och kompression</w:t>
      </w:r>
      <w:r w:rsidRPr="00631E8B">
        <w:t xml:space="preserve"> samt </w:t>
      </w:r>
      <w:r w:rsidRPr="00631E8B">
        <w:rPr>
          <w:i/>
        </w:rPr>
        <w:t>7.8.1 Tandvårdsmaterial</w:t>
      </w:r>
      <w:r w:rsidRPr="00631E8B">
        <w:t xml:space="preserve"> och </w:t>
      </w:r>
      <w:r w:rsidRPr="00631E8B">
        <w:rPr>
          <w:i/>
        </w:rPr>
        <w:t>7.8.2 Ortodontimaterial</w:t>
      </w:r>
      <w:r w:rsidRPr="00631E8B">
        <w:t>.</w:t>
      </w:r>
    </w:p>
    <w:p w14:paraId="10B19163" w14:textId="77777777" w:rsidR="0030323E" w:rsidRPr="00631E8B" w:rsidRDefault="0030323E" w:rsidP="0030323E">
      <w:pPr>
        <w:pStyle w:val="Rubrik4"/>
        <w:rPr>
          <w:i/>
        </w:rPr>
      </w:pPr>
      <w:r w:rsidRPr="00631E8B">
        <w:t>Underlag och beräkningsmetod</w:t>
      </w:r>
    </w:p>
    <w:p w14:paraId="07234FD8" w14:textId="77777777" w:rsidR="0030323E" w:rsidRPr="00631E8B" w:rsidRDefault="0030323E" w:rsidP="0030323E">
      <w:r w:rsidRPr="00631E8B">
        <w:t xml:space="preserve">I de fall där information om klimatpåverkan tillhandahålls av leverantören kan denna information matas in i verktyget. </w:t>
      </w:r>
    </w:p>
    <w:p w14:paraId="70BAD2E1" w14:textId="77777777" w:rsidR="0030323E" w:rsidRPr="00631E8B" w:rsidRDefault="0030323E" w:rsidP="0030323E">
      <w:r w:rsidRPr="00631E8B">
        <w:t>Om information inte finns tillgänglig kan regionen rapportera in en kostnad för inköp i kategorin. Utsläppsfaktorn som används vid beräkning är från Region Stockholms miljöspendanalys 2021, med namn ” Vårdrelaterad utrustning och förbrukningsvaror”</w:t>
      </w:r>
    </w:p>
    <w:p w14:paraId="23329ED8" w14:textId="4CCA171C" w:rsidR="0030323E" w:rsidRPr="004B6110" w:rsidRDefault="0030323E" w:rsidP="004B6110">
      <w:r w:rsidRPr="00631E8B">
        <w:t>Posten redovisas i scope 3.</w:t>
      </w:r>
    </w:p>
    <w:p w14:paraId="4420BC61" w14:textId="77777777" w:rsidR="000245BD" w:rsidRDefault="006708EC" w:rsidP="00DF56D9">
      <w:pPr>
        <w:pStyle w:val="Rubrik3"/>
      </w:pPr>
      <w:bookmarkStart w:id="99" w:name="_Toc152920057"/>
      <w:r>
        <w:t xml:space="preserve">Inköp av varor - </w:t>
      </w:r>
      <w:r w:rsidR="000245BD">
        <w:t>Förbrukningsartiklar</w:t>
      </w:r>
      <w:bookmarkEnd w:id="96"/>
      <w:bookmarkEnd w:id="97"/>
      <w:bookmarkEnd w:id="99"/>
    </w:p>
    <w:p w14:paraId="36E7A736" w14:textId="77777777" w:rsidR="000245BD" w:rsidRPr="008D17CF" w:rsidRDefault="000245BD" w:rsidP="000245BD">
      <w:pPr>
        <w:pStyle w:val="Rubrik4"/>
        <w:rPr>
          <w:i/>
        </w:rPr>
      </w:pPr>
      <w:r w:rsidRPr="008D17CF">
        <w:t>Omfattning</w:t>
      </w:r>
      <w:r w:rsidR="00C34FD4">
        <w:t>/avgränsningar</w:t>
      </w:r>
    </w:p>
    <w:p w14:paraId="70069184" w14:textId="77777777" w:rsidR="00F53AF3" w:rsidRPr="00B8187A" w:rsidRDefault="000245BD" w:rsidP="000245BD">
      <w:pPr>
        <w:rPr>
          <w:i/>
          <w:iCs/>
        </w:rPr>
      </w:pPr>
      <w:r>
        <w:t xml:space="preserve">I denna post </w:t>
      </w:r>
      <w:r w:rsidRPr="00B8187A">
        <w:t xml:space="preserve">inkluderas inköp av </w:t>
      </w:r>
      <w:r w:rsidR="00312E45" w:rsidRPr="00B8187A">
        <w:t>vårdrelaterade förbrukningsvaror</w:t>
      </w:r>
      <w:r w:rsidRPr="00B8187A">
        <w:t xml:space="preserve">. För uppdelning/avgränsning av data </w:t>
      </w:r>
      <w:r w:rsidR="0093195E" w:rsidRPr="00B8187A">
        <w:t>föreslås att</w:t>
      </w:r>
      <w:r w:rsidRPr="00B8187A">
        <w:t xml:space="preserve"> regionen utgå</w:t>
      </w:r>
      <w:r w:rsidR="0093195E" w:rsidRPr="00B8187A">
        <w:t>r</w:t>
      </w:r>
      <w:r w:rsidRPr="00B8187A">
        <w:t xml:space="preserve"> fr</w:t>
      </w:r>
      <w:r w:rsidR="00D666E4" w:rsidRPr="00B8187A">
        <w:t xml:space="preserve">ån LfU:s kategoriträd och kategorierna </w:t>
      </w:r>
      <w:r w:rsidR="00D666E4" w:rsidRPr="00B8187A">
        <w:rPr>
          <w:i/>
        </w:rPr>
        <w:t>7.4 Generella förbrukningsvaror, 7.5 Inkontinens och stomi, 7.6 Nutrition, 7.7 Sårvård och kompression</w:t>
      </w:r>
      <w:r w:rsidR="00D666E4" w:rsidRPr="00B8187A">
        <w:t xml:space="preserve"> samt </w:t>
      </w:r>
      <w:r w:rsidR="00D666E4" w:rsidRPr="00B8187A">
        <w:rPr>
          <w:i/>
        </w:rPr>
        <w:t>7.8.1 Tandvårdsmaterial</w:t>
      </w:r>
      <w:r w:rsidR="00D666E4" w:rsidRPr="00B8187A">
        <w:t xml:space="preserve"> och </w:t>
      </w:r>
      <w:r w:rsidR="00D666E4" w:rsidRPr="00B8187A">
        <w:rPr>
          <w:i/>
        </w:rPr>
        <w:t>7.8.2 Ortodontimaterial</w:t>
      </w:r>
      <w:r w:rsidR="00D666E4" w:rsidRPr="00B8187A">
        <w:t>.</w:t>
      </w:r>
    </w:p>
    <w:p w14:paraId="4709590F" w14:textId="77777777" w:rsidR="000245BD" w:rsidRPr="00B8187A" w:rsidRDefault="000245BD" w:rsidP="000245BD">
      <w:pPr>
        <w:pStyle w:val="Rubrik4"/>
        <w:rPr>
          <w:i/>
        </w:rPr>
      </w:pPr>
      <w:r w:rsidRPr="00B8187A">
        <w:t>Underlag och beräkningsmetod</w:t>
      </w:r>
    </w:p>
    <w:p w14:paraId="4CAA61B3" w14:textId="77777777" w:rsidR="000245BD" w:rsidRPr="00B8187A" w:rsidRDefault="000245BD" w:rsidP="000245BD">
      <w:r w:rsidRPr="00B8187A">
        <w:t xml:space="preserve">I de fall där information om klimatpåverkan tillhandahålls av leverantören kan denna information matas in i verktyget. </w:t>
      </w:r>
    </w:p>
    <w:p w14:paraId="3F72F448" w14:textId="53C3F318" w:rsidR="0043244A" w:rsidRPr="00B8187A" w:rsidRDefault="000245BD" w:rsidP="00856049">
      <w:r w:rsidRPr="00B8187A">
        <w:t xml:space="preserve">Om information inte finns tillgänglig kan regionen rapportera in en kostnad för inköp i kategorin. Utsläppsfaktorn som används vid beräkning är </w:t>
      </w:r>
      <w:r w:rsidR="00431257" w:rsidRPr="00B8187A">
        <w:t xml:space="preserve">från Region Stockholms miljöspendanalys 2021, med namn ” </w:t>
      </w:r>
      <w:r w:rsidR="00E076D1" w:rsidRPr="00B8187A">
        <w:t>Vårdrelaterad utrustning och förbrukningsvaror”</w:t>
      </w:r>
    </w:p>
    <w:p w14:paraId="38124958" w14:textId="77777777" w:rsidR="00856049" w:rsidRDefault="00856049" w:rsidP="00856049">
      <w:r w:rsidRPr="00B8187A">
        <w:t>Posten redovisas i scope 3.</w:t>
      </w:r>
    </w:p>
    <w:p w14:paraId="58ECBF56" w14:textId="719D8348" w:rsidR="00544270" w:rsidRDefault="00544270" w:rsidP="00544270">
      <w:pPr>
        <w:pStyle w:val="Rubrik3"/>
      </w:pPr>
      <w:bookmarkStart w:id="100" w:name="_Toc152920058"/>
      <w:r>
        <w:t xml:space="preserve">Inköp av </w:t>
      </w:r>
      <w:r w:rsidRPr="0007096A">
        <w:t xml:space="preserve">varor </w:t>
      </w:r>
      <w:r w:rsidR="002318FD" w:rsidRPr="0007096A">
        <w:t>och tjänster – egna kategorier</w:t>
      </w:r>
      <w:bookmarkEnd w:id="100"/>
      <w:r w:rsidR="00294186" w:rsidRPr="0007096A">
        <w:t xml:space="preserve"> </w:t>
      </w:r>
      <w:r w:rsidR="00294186">
        <w:rPr>
          <w:highlight w:val="yellow"/>
        </w:rPr>
        <w:br/>
      </w:r>
    </w:p>
    <w:p w14:paraId="0D7522A2" w14:textId="77777777" w:rsidR="00544270" w:rsidRPr="008D17CF" w:rsidRDefault="00544270" w:rsidP="00544270">
      <w:pPr>
        <w:pStyle w:val="Rubrik4"/>
        <w:rPr>
          <w:i/>
        </w:rPr>
      </w:pPr>
      <w:r w:rsidRPr="008D17CF">
        <w:t>Omfattning</w:t>
      </w:r>
      <w:r>
        <w:t>/avgränsningar</w:t>
      </w:r>
    </w:p>
    <w:p w14:paraId="61BE52E7" w14:textId="7283C147" w:rsidR="00544270" w:rsidRDefault="00335453" w:rsidP="00544270">
      <w:r>
        <w:t xml:space="preserve">I denna post </w:t>
      </w:r>
      <w:r w:rsidR="000E40A5">
        <w:t xml:space="preserve">kan användaren själv mata in </w:t>
      </w:r>
      <w:r w:rsidR="007252E1">
        <w:t xml:space="preserve">egna kategorier, vars utsläpp </w:t>
      </w:r>
      <w:r w:rsidR="005A7599">
        <w:t xml:space="preserve">matas in direkt i verktyget. Här behöver användaren även välja en passande scope 3-kategori </w:t>
      </w:r>
      <w:r w:rsidR="00326B22">
        <w:t>enligt GHG-protokollets metodik, detta för att resultatabell 6 ska göra en korrekt kategorisering.</w:t>
      </w:r>
    </w:p>
    <w:p w14:paraId="28F8A490" w14:textId="77777777" w:rsidR="00301573" w:rsidRDefault="00301573" w:rsidP="00544270"/>
    <w:p w14:paraId="26C3170E" w14:textId="77777777" w:rsidR="00301573" w:rsidRDefault="00301573" w:rsidP="00544270"/>
    <w:p w14:paraId="45FB1829" w14:textId="77777777" w:rsidR="00301573" w:rsidRPr="00B8187A" w:rsidRDefault="00301573" w:rsidP="00544270">
      <w:pPr>
        <w:rPr>
          <w:i/>
          <w:iCs/>
        </w:rPr>
      </w:pPr>
    </w:p>
    <w:p w14:paraId="4E8AC91F" w14:textId="2CB038F8" w:rsidR="000815DC" w:rsidRDefault="000815DC" w:rsidP="00DF56D9">
      <w:pPr>
        <w:pStyle w:val="Rubrik3"/>
      </w:pPr>
      <w:bookmarkStart w:id="101" w:name="_Toc92867353"/>
      <w:bookmarkStart w:id="102" w:name="_Toc93482424"/>
      <w:bookmarkStart w:id="103" w:name="_Toc152920059"/>
      <w:r>
        <w:t>Avfall</w:t>
      </w:r>
      <w:bookmarkEnd w:id="101"/>
      <w:bookmarkEnd w:id="102"/>
      <w:bookmarkEnd w:id="103"/>
    </w:p>
    <w:p w14:paraId="3D527F3B" w14:textId="77777777" w:rsidR="00F65B8B" w:rsidRPr="00373259" w:rsidRDefault="00F65B8B" w:rsidP="00F65B8B">
      <w:pPr>
        <w:pStyle w:val="Rubrik4"/>
        <w:rPr>
          <w:i/>
        </w:rPr>
      </w:pPr>
      <w:r w:rsidRPr="00373259">
        <w:t>Omfattning/avgränsningar</w:t>
      </w:r>
    </w:p>
    <w:p w14:paraId="20E7D387" w14:textId="77777777" w:rsidR="00F65B8B" w:rsidRDefault="00F65B8B" w:rsidP="00F65B8B">
      <w:r>
        <w:t xml:space="preserve">Enligt Greenhouse Gas Protocol omfattar denna post utsläppen från avfall som går till deponi, </w:t>
      </w:r>
      <w:r w:rsidR="00AC07DA">
        <w:t xml:space="preserve">komposterbart avfall, </w:t>
      </w:r>
      <w:r>
        <w:t>avfall som går till förbränning utan energiåtervinning samt transporter till behandlingsanläggningar</w:t>
      </w:r>
      <w:r w:rsidR="00FF2795">
        <w:t xml:space="preserve"> för exempelvis materialåtervinning</w:t>
      </w:r>
      <w:r>
        <w:t xml:space="preserve">. </w:t>
      </w:r>
    </w:p>
    <w:p w14:paraId="78AA9464" w14:textId="77777777" w:rsidR="0074472A" w:rsidRDefault="00D90F53" w:rsidP="00F65B8B">
      <w:r>
        <w:t xml:space="preserve">Utsläpp från processen för </w:t>
      </w:r>
      <w:r w:rsidR="0074472A">
        <w:t>materialåtervinn</w:t>
      </w:r>
      <w:r>
        <w:t xml:space="preserve">ing </w:t>
      </w:r>
      <w:r w:rsidR="00D0790E">
        <w:t>inkluderas</w:t>
      </w:r>
      <w:r w:rsidR="004424D1">
        <w:t xml:space="preserve"> ej i verktygets beräkningar</w:t>
      </w:r>
      <w:r w:rsidR="0074472A">
        <w:t xml:space="preserve"> då de utsläpp som </w:t>
      </w:r>
      <w:r w:rsidR="00D0790E">
        <w:t>kommer från</w:t>
      </w:r>
      <w:r w:rsidR="0074472A">
        <w:t xml:space="preserve"> bearbetningen </w:t>
      </w:r>
      <w:r w:rsidR="00CB6D0D">
        <w:t>i stället</w:t>
      </w:r>
      <w:r w:rsidR="0074472A">
        <w:t xml:space="preserve"> </w:t>
      </w:r>
      <w:r w:rsidR="00CB6D0D">
        <w:t xml:space="preserve">inkluderas vid </w:t>
      </w:r>
      <w:r w:rsidR="0074472A">
        <w:t>inköp</w:t>
      </w:r>
      <w:r w:rsidR="00CB6D0D">
        <w:t xml:space="preserve"> av återvunnet material och produkter</w:t>
      </w:r>
      <w:r w:rsidR="0074472A">
        <w:t xml:space="preserve">. </w:t>
      </w:r>
    </w:p>
    <w:p w14:paraId="430BC2EE" w14:textId="77777777" w:rsidR="00F65B8B" w:rsidRDefault="00027053" w:rsidP="00F65B8B">
      <w:r>
        <w:t>Utsläpp från förbränningsprocessen för a</w:t>
      </w:r>
      <w:r w:rsidR="00F65B8B">
        <w:t xml:space="preserve">vfall som energiåtervinns ingår inte </w:t>
      </w:r>
      <w:r w:rsidR="0074472A">
        <w:t xml:space="preserve">heller </w:t>
      </w:r>
      <w:r w:rsidR="00891C01">
        <w:t xml:space="preserve">i sammanräkningen </w:t>
      </w:r>
      <w:r w:rsidR="00F65B8B">
        <w:t>för att undvika dubbelberäkning, de</w:t>
      </w:r>
      <w:r w:rsidR="0074472A">
        <w:t xml:space="preserve">n fossila delen </w:t>
      </w:r>
      <w:r w:rsidR="00F65B8B">
        <w:t>allokeras i stället till köp av fjärrvärme eller e</w:t>
      </w:r>
      <w:r w:rsidR="00891C01">
        <w:t xml:space="preserve">l och </w:t>
      </w:r>
      <w:r w:rsidR="0074472A">
        <w:t xml:space="preserve">kan även ingå </w:t>
      </w:r>
      <w:r w:rsidR="00891C01">
        <w:t xml:space="preserve">i </w:t>
      </w:r>
      <w:r w:rsidR="0074472A">
        <w:t xml:space="preserve">inköpta </w:t>
      </w:r>
      <w:r w:rsidR="00891C01">
        <w:t>förbrukningsvaror</w:t>
      </w:r>
      <w:r w:rsidR="00F65B8B">
        <w:t>. Greenhouse Gas Protocol uppmuntrar dock till att redovisa utsläpp från avfallsförbränningen separat utanför scope 3 och</w:t>
      </w:r>
      <w:r w:rsidR="00384F41">
        <w:t xml:space="preserve"> därmed</w:t>
      </w:r>
      <w:r w:rsidR="00F65B8B">
        <w:t xml:space="preserve"> själva </w:t>
      </w:r>
      <w:r w:rsidR="00722C02">
        <w:t>klimatredovisningen</w:t>
      </w:r>
      <w:r w:rsidR="00F65B8B">
        <w:t xml:space="preserve">, </w:t>
      </w:r>
      <w:r w:rsidR="0074472A">
        <w:t>eftersom organisationen kan påverka volymen på sitt avfall i</w:t>
      </w:r>
      <w:r w:rsidR="00F65B8B">
        <w:t xml:space="preserve"> det interna arbetet med </w:t>
      </w:r>
      <w:r w:rsidR="0074472A">
        <w:t xml:space="preserve">resursanvändning och </w:t>
      </w:r>
      <w:r w:rsidR="00F65B8B">
        <w:t>avfallshantering.</w:t>
      </w:r>
      <w:r w:rsidR="00891C01">
        <w:t xml:space="preserve"> Därför </w:t>
      </w:r>
      <w:r w:rsidR="0074472A">
        <w:t>redovisas utsläpp från avfall till förbränning som en separat post</w:t>
      </w:r>
      <w:r w:rsidR="00891C01">
        <w:t xml:space="preserve"> även i verktyget.</w:t>
      </w:r>
    </w:p>
    <w:p w14:paraId="3541EF04" w14:textId="77777777" w:rsidR="00F65B8B" w:rsidRDefault="00F65B8B" w:rsidP="00F65B8B">
      <w:pPr>
        <w:pStyle w:val="Rubrik4"/>
      </w:pPr>
      <w:r w:rsidRPr="00373259">
        <w:t>Underlag och beräkningsmetod</w:t>
      </w:r>
    </w:p>
    <w:p w14:paraId="43F890C3" w14:textId="33B23D2F" w:rsidR="000D623C" w:rsidRPr="00B8187A" w:rsidRDefault="004226C1" w:rsidP="000D623C">
      <w:r>
        <w:rPr>
          <w:i/>
        </w:rPr>
        <w:t>Avfall</w:t>
      </w:r>
      <w:r w:rsidR="00FF7A58">
        <w:rPr>
          <w:i/>
        </w:rPr>
        <w:t>:</w:t>
      </w:r>
      <w:r w:rsidR="00C96032">
        <w:t xml:space="preserve"> </w:t>
      </w:r>
      <w:r w:rsidR="00230094">
        <w:t>Den totala avfallsmängden</w:t>
      </w:r>
      <w:r>
        <w:t xml:space="preserve"> rapporteras</w:t>
      </w:r>
      <w:r w:rsidR="00335F19">
        <w:t xml:space="preserve"> i posten. </w:t>
      </w:r>
      <w:r w:rsidR="006C4ABD">
        <w:t xml:space="preserve">Avfallsentreprenören bör kunna lämna uppgift om mängd (t.ex. kg eller </w:t>
      </w:r>
      <w:r w:rsidR="006C4ABD" w:rsidRPr="00B8187A">
        <w:t xml:space="preserve">ton) av olika avfallsslag som lämnas till deponi, energiutvinning och förbränning utan energiutvinning </w:t>
      </w:r>
      <w:r w:rsidR="006E1FCB" w:rsidRPr="00B8187A">
        <w:t>I posten avfall räknas både transport och hantering av avfall in. Faktorerna som används</w:t>
      </w:r>
      <w:r w:rsidR="000D623C" w:rsidRPr="00B8187A">
        <w:t xml:space="preserve"> räknar både med transport och hantering.</w:t>
      </w:r>
      <w:r w:rsidR="006E1FCB" w:rsidRPr="00B8187A">
        <w:t xml:space="preserve"> Därmed kan (och ska) inte transporterna för avfall redovisas separat, utan bara totala mängd avfall redovisas i posten</w:t>
      </w:r>
      <w:r w:rsidR="000D623C" w:rsidRPr="00B8187A">
        <w:t xml:space="preserve">. Redovisa inte avfallstransporter som inköpta eller egna transporter under "2. Transporter, pendling" då detta resulterar i dubbelrapportering. </w:t>
      </w:r>
    </w:p>
    <w:p w14:paraId="03CA71BE" w14:textId="12A1AB93" w:rsidR="000A1664" w:rsidRDefault="007E6BD1" w:rsidP="00D204A1">
      <w:pPr>
        <w:rPr>
          <w:sz w:val="28"/>
          <w:szCs w:val="28"/>
        </w:rPr>
      </w:pPr>
      <w:r w:rsidRPr="00B8187A">
        <w:t xml:space="preserve">Om regionen vill följa </w:t>
      </w:r>
      <w:r w:rsidR="002103A0" w:rsidRPr="00B8187A">
        <w:t>upp kring avfallstransporter så får detta göras separat och inte i verktyget.</w:t>
      </w:r>
      <w:r w:rsidR="00D43908">
        <w:br/>
      </w:r>
    </w:p>
    <w:p w14:paraId="00C53B7C" w14:textId="77777777" w:rsidR="00301573" w:rsidRDefault="00301573">
      <w:pPr>
        <w:spacing w:line="259" w:lineRule="auto"/>
        <w:rPr>
          <w:sz w:val="28"/>
          <w:szCs w:val="28"/>
        </w:rPr>
      </w:pPr>
      <w:r>
        <w:br w:type="page"/>
      </w:r>
    </w:p>
    <w:p w14:paraId="087A474A" w14:textId="5CECBAC0" w:rsidR="004B3849" w:rsidRDefault="00DD2218" w:rsidP="008A70A4">
      <w:pPr>
        <w:pStyle w:val="Rubrik2"/>
      </w:pPr>
      <w:bookmarkStart w:id="104" w:name="_Toc152920060"/>
      <w:r>
        <w:t xml:space="preserve">4. </w:t>
      </w:r>
      <w:r w:rsidR="004B3849" w:rsidRPr="008573C5">
        <w:t>Naturbruk</w:t>
      </w:r>
      <w:bookmarkEnd w:id="104"/>
    </w:p>
    <w:p w14:paraId="560D9D60" w14:textId="77777777" w:rsidR="004B3849" w:rsidRPr="00373259" w:rsidRDefault="004B3849" w:rsidP="004B3849">
      <w:pPr>
        <w:pStyle w:val="Rubrik4"/>
        <w:rPr>
          <w:i/>
        </w:rPr>
      </w:pPr>
      <w:r w:rsidRPr="00373259">
        <w:t>Omfattning/avgränsningar</w:t>
      </w:r>
    </w:p>
    <w:p w14:paraId="635B4E41" w14:textId="77777777" w:rsidR="004B3849" w:rsidRDefault="004B3849" w:rsidP="004B3849">
      <w:r>
        <w:t xml:space="preserve">Om regionen bedriver någon form av naturbruksgymnasium eller annan typ av jord- eller skogsbruk i egen regi eller via upphandling bör posten redovisas. </w:t>
      </w:r>
    </w:p>
    <w:p w14:paraId="40D60069" w14:textId="1468621B" w:rsidR="004B3849" w:rsidRDefault="004B3849" w:rsidP="004B3849">
      <w:r>
        <w:t xml:space="preserve">Kategorin består av </w:t>
      </w:r>
      <w:r w:rsidR="00E65A08">
        <w:t>tre</w:t>
      </w:r>
      <w:r>
        <w:t xml:space="preserve"> delar: </w:t>
      </w:r>
    </w:p>
    <w:p w14:paraId="6CDA8C17" w14:textId="77777777" w:rsidR="004B3849" w:rsidRPr="00384F41" w:rsidRDefault="004B3849" w:rsidP="004B3849">
      <w:pPr>
        <w:pStyle w:val="Liststycke"/>
        <w:numPr>
          <w:ilvl w:val="0"/>
          <w:numId w:val="26"/>
        </w:numPr>
        <w:rPr>
          <w:i/>
        </w:rPr>
      </w:pPr>
      <w:r w:rsidRPr="00384F41">
        <w:rPr>
          <w:i/>
        </w:rPr>
        <w:t>Arbetsmaskiner</w:t>
      </w:r>
    </w:p>
    <w:p w14:paraId="173D474B" w14:textId="77777777" w:rsidR="004B3849" w:rsidRDefault="004B3849" w:rsidP="004B3849">
      <w:pPr>
        <w:pStyle w:val="Liststycke"/>
        <w:numPr>
          <w:ilvl w:val="0"/>
          <w:numId w:val="26"/>
        </w:numPr>
      </w:pPr>
      <w:r w:rsidRPr="00384F41">
        <w:rPr>
          <w:i/>
        </w:rPr>
        <w:t>Djurhållning</w:t>
      </w:r>
      <w:r w:rsidRPr="00384F41">
        <w:rPr>
          <w:i/>
          <w:iCs/>
        </w:rPr>
        <w:t>- och markanvändning</w:t>
      </w:r>
      <w:r w:rsidRPr="00384F41">
        <w:rPr>
          <w:i/>
        </w:rPr>
        <w:t>, inklusive insatsvaror</w:t>
      </w:r>
      <w:r>
        <w:t xml:space="preserve">. </w:t>
      </w:r>
    </w:p>
    <w:p w14:paraId="23291C6C" w14:textId="6F061982" w:rsidR="00E65A08" w:rsidRDefault="00E65A08" w:rsidP="004B3849">
      <w:pPr>
        <w:pStyle w:val="Liststycke"/>
        <w:numPr>
          <w:ilvl w:val="0"/>
          <w:numId w:val="26"/>
        </w:numPr>
      </w:pPr>
      <w:r>
        <w:rPr>
          <w:i/>
        </w:rPr>
        <w:t>Inköp kopplat till naturbruk</w:t>
      </w:r>
    </w:p>
    <w:p w14:paraId="24E4C251" w14:textId="77777777" w:rsidR="004B3849" w:rsidRDefault="004B3849" w:rsidP="004B3849">
      <w:r>
        <w:t xml:space="preserve">Byggnader ingår inte här utan bör i första hand rapporteras i posten </w:t>
      </w:r>
      <w:r w:rsidRPr="00A77F25">
        <w:rPr>
          <w:i/>
          <w:iCs/>
        </w:rPr>
        <w:t>Fastigheter</w:t>
      </w:r>
      <w:r>
        <w:t>.</w:t>
      </w:r>
    </w:p>
    <w:p w14:paraId="76FF6E7F" w14:textId="77777777" w:rsidR="004B3849" w:rsidRPr="00B51E33" w:rsidRDefault="004B3849" w:rsidP="004B3849">
      <w:pPr>
        <w:spacing w:after="0"/>
        <w:rPr>
          <w:b/>
          <w:i/>
        </w:rPr>
      </w:pPr>
      <w:r w:rsidRPr="00824426">
        <w:rPr>
          <w:b/>
          <w:i/>
        </w:rPr>
        <w:t>Underlag och beräkningsmetod</w:t>
      </w:r>
    </w:p>
    <w:p w14:paraId="403EEC82" w14:textId="77777777" w:rsidR="004B3849" w:rsidRPr="00BE7508" w:rsidRDefault="004B3849" w:rsidP="004B3849">
      <w:pPr>
        <w:spacing w:after="0"/>
        <w:rPr>
          <w:bCs/>
          <w:iCs/>
        </w:rPr>
      </w:pPr>
    </w:p>
    <w:p w14:paraId="49040022" w14:textId="77777777" w:rsidR="004B3849" w:rsidRDefault="004B3849" w:rsidP="004B3849">
      <w:r w:rsidRPr="00824426">
        <w:rPr>
          <w:i/>
        </w:rPr>
        <w:t>Arbetsmaskiner</w:t>
      </w:r>
      <w:r>
        <w:t xml:space="preserve">: Beräkningen bör i första hand utgå från förbrukat drivmedel (liter) och det aktuella drivmedlets utsläppsfaktorer. De </w:t>
      </w:r>
      <w:r w:rsidRPr="003A1650">
        <w:t xml:space="preserve">direkta utsläppen </w:t>
      </w:r>
      <w:r>
        <w:t xml:space="preserve">redovisas </w:t>
      </w:r>
      <w:r w:rsidRPr="003A1650">
        <w:t xml:space="preserve">i scope 1 och </w:t>
      </w:r>
      <w:r>
        <w:t xml:space="preserve">övriga utsläpp från bränslets livscykel </w:t>
      </w:r>
      <w:r w:rsidRPr="003A1650">
        <w:t>redovisas i scope 3</w:t>
      </w:r>
      <w:r>
        <w:t xml:space="preserve">. Regionen bör, om möjligt, även inkludera tjänster som köpts in till lant- eller skogsbruket, till exempel drift av arbetsmaskiner till skogsbruk om regionen inte har sådana själva. </w:t>
      </w:r>
    </w:p>
    <w:p w14:paraId="3985E813" w14:textId="3C9F44B7" w:rsidR="004B3849" w:rsidRDefault="004B3849" w:rsidP="004B3849">
      <w:r w:rsidRPr="00824426">
        <w:rPr>
          <w:i/>
        </w:rPr>
        <w:t>Djurhållning- och markanvändning</w:t>
      </w:r>
      <w:r>
        <w:t xml:space="preserve">: Här inkluderas med fördel klimatpåverkan från både djurhållning, markanvändning och </w:t>
      </w:r>
      <w:r w:rsidR="00E65A08">
        <w:t>direkta utsläpp</w:t>
      </w:r>
      <w:r w:rsidR="008205BD">
        <w:t xml:space="preserve"> från</w:t>
      </w:r>
      <w:r>
        <w:t xml:space="preserve"> insatsvaror som används till lantbruket i form av gödsel och foderkoncentrat. </w:t>
      </w:r>
    </w:p>
    <w:p w14:paraId="0A9F547A" w14:textId="69AA96AA" w:rsidR="005235EA" w:rsidRDefault="005235EA" w:rsidP="004B3849">
      <w:r>
        <w:rPr>
          <w:i/>
        </w:rPr>
        <w:t>Inköp kopplat till naturbruk</w:t>
      </w:r>
      <w:r>
        <w:t xml:space="preserve">: Här inkluderas utsläpp från produktion av de </w:t>
      </w:r>
      <w:r w:rsidR="00403099">
        <w:t xml:space="preserve">varor som är kopplade till naturbruk. </w:t>
      </w:r>
      <w:r w:rsidR="00E213F3">
        <w:t xml:space="preserve">Utsläppsfaktorerna för inköp </w:t>
      </w:r>
      <w:r w:rsidR="0045205C">
        <w:t>har</w:t>
      </w:r>
      <w:r w:rsidR="00E213F3">
        <w:t xml:space="preserve"> justerats </w:t>
      </w:r>
      <w:r w:rsidR="00C140CD">
        <w:t xml:space="preserve">till </w:t>
      </w:r>
      <w:r w:rsidR="0045205C">
        <w:t xml:space="preserve">faktorer från </w:t>
      </w:r>
      <w:r w:rsidR="00D03754">
        <w:t xml:space="preserve">Region Stockholms miljöspendanalys, för att vara mer konsekventa med resterande kostnadsbaserade beräkningar i verktyget. Se tabell nedan för </w:t>
      </w:r>
      <w:r w:rsidR="00486786">
        <w:t>uppdaterade och gamla värden, samt avsnitt 3 för mer information.</w:t>
      </w:r>
      <w:r w:rsidR="002506A0">
        <w:t xml:space="preserve"> Det går att använda det utökade spendverktyget för att räkna på inköp från naturbruk, om </w:t>
      </w:r>
      <w:r w:rsidR="009C07BC">
        <w:t>Regionen har fler kategorier än de som visas nedan som den vill redovisa. Se</w:t>
      </w:r>
      <w:r w:rsidR="0022374F">
        <w:t xml:space="preserve"> avsnitt ”</w:t>
      </w:r>
      <w:r w:rsidR="0022374F" w:rsidRPr="0022374F">
        <w:t xml:space="preserve"> Tilläggsfiler för ytterligare analys</w:t>
      </w:r>
      <w:r w:rsidR="0022374F">
        <w:t>” för mer information.</w:t>
      </w:r>
    </w:p>
    <w:p w14:paraId="25DB363D" w14:textId="321F711F" w:rsidR="00136A7B" w:rsidRDefault="00486786" w:rsidP="00136A7B">
      <w:pPr>
        <w:rPr>
          <w:highlight w:val="yellow"/>
        </w:rPr>
      </w:pPr>
      <w:r w:rsidRPr="00DA1EAF">
        <w:rPr>
          <w:b/>
          <w:bCs/>
        </w:rPr>
        <w:t>Tabell</w:t>
      </w:r>
      <w:r>
        <w:rPr>
          <w:b/>
          <w:bCs/>
        </w:rPr>
        <w:t>: Utsläpp för inköpskategorier för naturbruk, nya och tidigare värden (kg CO</w:t>
      </w:r>
      <w:r w:rsidRPr="00FB1F66">
        <w:rPr>
          <w:b/>
          <w:bCs/>
          <w:vertAlign w:val="subscript"/>
        </w:rPr>
        <w:t>2</w:t>
      </w:r>
      <w:r>
        <w:rPr>
          <w:b/>
          <w:bCs/>
        </w:rPr>
        <w:t>ekv/SEK)</w:t>
      </w:r>
    </w:p>
    <w:tbl>
      <w:tblPr>
        <w:tblW w:w="9233" w:type="dxa"/>
        <w:tblCellMar>
          <w:left w:w="0" w:type="dxa"/>
          <w:right w:w="0" w:type="dxa"/>
        </w:tblCellMar>
        <w:tblLook w:val="04A0" w:firstRow="1" w:lastRow="0" w:firstColumn="1" w:lastColumn="0" w:noHBand="0" w:noVBand="1"/>
      </w:tblPr>
      <w:tblGrid>
        <w:gridCol w:w="3826"/>
        <w:gridCol w:w="2260"/>
        <w:gridCol w:w="1211"/>
        <w:gridCol w:w="1936"/>
      </w:tblGrid>
      <w:tr w:rsidR="00386687" w14:paraId="33E1781E" w14:textId="77777777" w:rsidTr="00386687">
        <w:trPr>
          <w:cantSplit/>
          <w:trHeight w:val="227"/>
        </w:trPr>
        <w:tc>
          <w:tcPr>
            <w:tcW w:w="3826" w:type="dxa"/>
            <w:tcBorders>
              <w:top w:val="single" w:sz="8" w:space="0" w:color="999999"/>
              <w:left w:val="single" w:sz="8" w:space="0" w:color="999999"/>
              <w:bottom w:val="single" w:sz="12" w:space="0" w:color="666666"/>
              <w:right w:val="single" w:sz="4" w:space="0" w:color="auto"/>
            </w:tcBorders>
            <w:noWrap/>
            <w:tcMar>
              <w:top w:w="0" w:type="dxa"/>
              <w:left w:w="108" w:type="dxa"/>
              <w:bottom w:w="0" w:type="dxa"/>
              <w:right w:w="108" w:type="dxa"/>
            </w:tcMar>
            <w:hideMark/>
          </w:tcPr>
          <w:p w14:paraId="65BC7EA0" w14:textId="64094B44" w:rsidR="00386687" w:rsidRDefault="00386687" w:rsidP="00557329">
            <w:pPr>
              <w:rPr>
                <w:rFonts w:ascii="Calibri" w:hAnsi="Calibri"/>
                <w:b/>
                <w:bCs/>
                <w:color w:val="000000"/>
                <w:spacing w:val="0"/>
                <w:lang w:eastAsia="sv-SE"/>
              </w:rPr>
            </w:pPr>
            <w:r>
              <w:rPr>
                <w:b/>
                <w:bCs/>
                <w:color w:val="000000"/>
                <w:lang w:eastAsia="sv-SE"/>
              </w:rPr>
              <w:t>Kategorinamn – ny version</w:t>
            </w:r>
          </w:p>
        </w:tc>
        <w:tc>
          <w:tcPr>
            <w:tcW w:w="2260" w:type="dxa"/>
            <w:tcBorders>
              <w:top w:val="single" w:sz="4" w:space="0" w:color="auto"/>
              <w:left w:val="single" w:sz="4" w:space="0" w:color="auto"/>
              <w:bottom w:val="single" w:sz="12" w:space="0" w:color="666666"/>
              <w:right w:val="single" w:sz="4" w:space="0" w:color="auto"/>
            </w:tcBorders>
          </w:tcPr>
          <w:p w14:paraId="0E0BB44D" w14:textId="48DB522C" w:rsidR="00386687" w:rsidRDefault="00386687" w:rsidP="00557329">
            <w:pPr>
              <w:rPr>
                <w:b/>
                <w:bCs/>
                <w:color w:val="000000"/>
                <w:lang w:eastAsia="sv-SE"/>
              </w:rPr>
            </w:pPr>
            <w:r>
              <w:rPr>
                <w:b/>
                <w:bCs/>
                <w:color w:val="000000"/>
                <w:lang w:eastAsia="sv-SE"/>
              </w:rPr>
              <w:t>Kategorinamn – gammal version</w:t>
            </w:r>
          </w:p>
        </w:tc>
        <w:tc>
          <w:tcPr>
            <w:tcW w:w="1211" w:type="dxa"/>
            <w:tcBorders>
              <w:top w:val="single" w:sz="4" w:space="0" w:color="auto"/>
              <w:left w:val="single" w:sz="4" w:space="0" w:color="auto"/>
              <w:bottom w:val="single" w:sz="12" w:space="0" w:color="666666"/>
              <w:right w:val="single" w:sz="4" w:space="0" w:color="auto"/>
            </w:tcBorders>
          </w:tcPr>
          <w:p w14:paraId="0B52B05F" w14:textId="1175D48F" w:rsidR="00386687" w:rsidRDefault="00386687" w:rsidP="00557329">
            <w:pPr>
              <w:rPr>
                <w:b/>
                <w:bCs/>
                <w:color w:val="000000"/>
                <w:lang w:eastAsia="sv-SE"/>
              </w:rPr>
            </w:pPr>
            <w:r>
              <w:rPr>
                <w:b/>
                <w:bCs/>
                <w:color w:val="000000"/>
                <w:lang w:eastAsia="sv-SE"/>
              </w:rPr>
              <w:t>Värde - Ny version</w:t>
            </w:r>
          </w:p>
        </w:tc>
        <w:tc>
          <w:tcPr>
            <w:tcW w:w="1936" w:type="dxa"/>
            <w:tcBorders>
              <w:top w:val="single" w:sz="8" w:space="0" w:color="999999"/>
              <w:left w:val="single" w:sz="4" w:space="0" w:color="auto"/>
              <w:bottom w:val="single" w:sz="12" w:space="0" w:color="666666"/>
              <w:right w:val="single" w:sz="8" w:space="0" w:color="999999"/>
            </w:tcBorders>
            <w:tcMar>
              <w:top w:w="0" w:type="dxa"/>
              <w:left w:w="108" w:type="dxa"/>
              <w:bottom w:w="0" w:type="dxa"/>
              <w:right w:w="108" w:type="dxa"/>
            </w:tcMar>
            <w:hideMark/>
          </w:tcPr>
          <w:p w14:paraId="7E44E3BB" w14:textId="5D3CC3D5" w:rsidR="00386687" w:rsidRDefault="00386687" w:rsidP="00557329">
            <w:pPr>
              <w:rPr>
                <w:b/>
                <w:bCs/>
                <w:color w:val="000000"/>
                <w:lang w:eastAsia="sv-SE"/>
              </w:rPr>
            </w:pPr>
            <w:r>
              <w:rPr>
                <w:b/>
                <w:bCs/>
                <w:color w:val="000000"/>
                <w:lang w:eastAsia="sv-SE"/>
              </w:rPr>
              <w:t>Värde - Tidigare version</w:t>
            </w:r>
          </w:p>
        </w:tc>
      </w:tr>
      <w:tr w:rsidR="00386687" w14:paraId="7691EF4A" w14:textId="77777777" w:rsidTr="00386687">
        <w:trPr>
          <w:cantSplit/>
          <w:trHeight w:val="227"/>
        </w:trPr>
        <w:tc>
          <w:tcPr>
            <w:tcW w:w="3826" w:type="dxa"/>
            <w:tcBorders>
              <w:top w:val="nil"/>
              <w:left w:val="single" w:sz="8" w:space="0" w:color="999999"/>
              <w:bottom w:val="single" w:sz="8" w:space="0" w:color="999999"/>
              <w:right w:val="single" w:sz="4" w:space="0" w:color="auto"/>
            </w:tcBorders>
            <w:noWrap/>
            <w:tcMar>
              <w:top w:w="0" w:type="dxa"/>
              <w:left w:w="108" w:type="dxa"/>
              <w:bottom w:w="0" w:type="dxa"/>
              <w:right w:w="108" w:type="dxa"/>
            </w:tcMar>
            <w:hideMark/>
          </w:tcPr>
          <w:p w14:paraId="6BC9E20D" w14:textId="5D6964D3" w:rsidR="00386687" w:rsidRPr="00165AA6" w:rsidRDefault="00386687" w:rsidP="00557329">
            <w:pPr>
              <w:spacing w:line="240" w:lineRule="auto"/>
              <w:rPr>
                <w:color w:val="000000"/>
                <w:sz w:val="18"/>
                <w:szCs w:val="18"/>
                <w:lang w:eastAsia="sv-SE"/>
              </w:rPr>
            </w:pPr>
            <w:r w:rsidRPr="00557329">
              <w:rPr>
                <w:color w:val="000000"/>
                <w:sz w:val="18"/>
                <w:szCs w:val="18"/>
                <w:lang w:eastAsia="sv-SE"/>
              </w:rPr>
              <w:t>Jordbruk och Skogsbruk</w:t>
            </w:r>
          </w:p>
        </w:tc>
        <w:tc>
          <w:tcPr>
            <w:tcW w:w="2260" w:type="dxa"/>
            <w:tcBorders>
              <w:top w:val="nil"/>
              <w:left w:val="single" w:sz="4" w:space="0" w:color="auto"/>
              <w:bottom w:val="single" w:sz="8" w:space="0" w:color="999999"/>
              <w:right w:val="single" w:sz="4" w:space="0" w:color="auto"/>
            </w:tcBorders>
          </w:tcPr>
          <w:p w14:paraId="2A99148B" w14:textId="4B212E15" w:rsidR="00386687" w:rsidRPr="00D15156" w:rsidRDefault="00D15156" w:rsidP="00557329">
            <w:pPr>
              <w:spacing w:line="240" w:lineRule="auto"/>
              <w:rPr>
                <w:i/>
                <w:iCs/>
                <w:color w:val="000000"/>
                <w:sz w:val="18"/>
                <w:szCs w:val="18"/>
                <w:lang w:eastAsia="sv-SE"/>
              </w:rPr>
            </w:pPr>
            <w:r w:rsidRPr="00D15156">
              <w:rPr>
                <w:i/>
                <w:iCs/>
                <w:color w:val="000000"/>
                <w:sz w:val="18"/>
                <w:szCs w:val="18"/>
                <w:lang w:eastAsia="sv-SE"/>
              </w:rPr>
              <w:t>Tillagd</w:t>
            </w:r>
          </w:p>
        </w:tc>
        <w:tc>
          <w:tcPr>
            <w:tcW w:w="1211" w:type="dxa"/>
            <w:tcBorders>
              <w:top w:val="nil"/>
              <w:left w:val="single" w:sz="4" w:space="0" w:color="auto"/>
              <w:bottom w:val="single" w:sz="8" w:space="0" w:color="999999"/>
              <w:right w:val="single" w:sz="4" w:space="0" w:color="auto"/>
            </w:tcBorders>
          </w:tcPr>
          <w:p w14:paraId="3AF1EDAE" w14:textId="49175833" w:rsidR="00386687" w:rsidRPr="00165AA6" w:rsidRDefault="00386687" w:rsidP="00557329">
            <w:pPr>
              <w:spacing w:line="240" w:lineRule="auto"/>
              <w:rPr>
                <w:color w:val="000000"/>
                <w:sz w:val="18"/>
                <w:szCs w:val="18"/>
                <w:lang w:eastAsia="sv-SE"/>
              </w:rPr>
            </w:pPr>
            <w:r w:rsidRPr="005F684F">
              <w:rPr>
                <w:color w:val="000000"/>
                <w:sz w:val="18"/>
                <w:szCs w:val="18"/>
                <w:lang w:eastAsia="sv-SE"/>
              </w:rPr>
              <w:t>0,007</w:t>
            </w:r>
          </w:p>
        </w:tc>
        <w:tc>
          <w:tcPr>
            <w:tcW w:w="1936" w:type="dxa"/>
            <w:tcBorders>
              <w:top w:val="nil"/>
              <w:left w:val="single" w:sz="4" w:space="0" w:color="auto"/>
              <w:bottom w:val="single" w:sz="8" w:space="0" w:color="999999"/>
              <w:right w:val="single" w:sz="8" w:space="0" w:color="999999"/>
            </w:tcBorders>
            <w:noWrap/>
            <w:tcMar>
              <w:top w:w="0" w:type="dxa"/>
              <w:left w:w="108" w:type="dxa"/>
              <w:bottom w:w="0" w:type="dxa"/>
              <w:right w:w="108" w:type="dxa"/>
            </w:tcMar>
            <w:hideMark/>
          </w:tcPr>
          <w:p w14:paraId="6E3807D9" w14:textId="2960748E" w:rsidR="00386687" w:rsidRPr="00927EE7" w:rsidRDefault="00D15156" w:rsidP="00557329">
            <w:pPr>
              <w:spacing w:line="240" w:lineRule="auto"/>
              <w:rPr>
                <w:i/>
                <w:iCs/>
                <w:color w:val="000000"/>
                <w:sz w:val="18"/>
                <w:szCs w:val="18"/>
                <w:lang w:eastAsia="sv-SE"/>
              </w:rPr>
            </w:pPr>
            <w:r w:rsidRPr="00927EE7">
              <w:rPr>
                <w:i/>
                <w:iCs/>
                <w:color w:val="000000"/>
                <w:sz w:val="18"/>
                <w:szCs w:val="18"/>
                <w:lang w:eastAsia="sv-SE"/>
              </w:rPr>
              <w:t>Tillagd</w:t>
            </w:r>
          </w:p>
        </w:tc>
      </w:tr>
      <w:tr w:rsidR="00386687" w14:paraId="33F66B17" w14:textId="77777777" w:rsidTr="00386687">
        <w:trPr>
          <w:cantSplit/>
          <w:trHeight w:val="227"/>
        </w:trPr>
        <w:tc>
          <w:tcPr>
            <w:tcW w:w="3826" w:type="dxa"/>
            <w:tcBorders>
              <w:top w:val="nil"/>
              <w:left w:val="single" w:sz="8" w:space="0" w:color="999999"/>
              <w:bottom w:val="single" w:sz="4" w:space="0" w:color="auto"/>
              <w:right w:val="single" w:sz="4" w:space="0" w:color="auto"/>
            </w:tcBorders>
            <w:noWrap/>
            <w:tcMar>
              <w:top w:w="0" w:type="dxa"/>
              <w:left w:w="108" w:type="dxa"/>
              <w:bottom w:w="0" w:type="dxa"/>
              <w:right w:w="108" w:type="dxa"/>
            </w:tcMar>
            <w:hideMark/>
          </w:tcPr>
          <w:p w14:paraId="5795D39B" w14:textId="49C8CB01" w:rsidR="00386687" w:rsidRPr="00165AA6" w:rsidRDefault="00386687" w:rsidP="00557329">
            <w:pPr>
              <w:spacing w:line="240" w:lineRule="auto"/>
              <w:rPr>
                <w:color w:val="000000"/>
                <w:sz w:val="18"/>
                <w:szCs w:val="18"/>
                <w:lang w:eastAsia="sv-SE"/>
              </w:rPr>
            </w:pPr>
            <w:r>
              <w:rPr>
                <w:color w:val="000000"/>
                <w:sz w:val="18"/>
                <w:szCs w:val="18"/>
                <w:lang w:eastAsia="sv-SE"/>
              </w:rPr>
              <w:t>Plaster, syntetiskt material och gummi</w:t>
            </w:r>
          </w:p>
        </w:tc>
        <w:tc>
          <w:tcPr>
            <w:tcW w:w="2260" w:type="dxa"/>
            <w:tcBorders>
              <w:top w:val="nil"/>
              <w:left w:val="single" w:sz="4" w:space="0" w:color="auto"/>
              <w:bottom w:val="single" w:sz="4" w:space="0" w:color="auto"/>
              <w:right w:val="single" w:sz="4" w:space="0" w:color="auto"/>
            </w:tcBorders>
          </w:tcPr>
          <w:p w14:paraId="52B3E13E" w14:textId="43AD7B3F" w:rsidR="00386687" w:rsidRPr="00D83AA8" w:rsidRDefault="00386687" w:rsidP="00557329">
            <w:pPr>
              <w:spacing w:line="240" w:lineRule="auto"/>
              <w:rPr>
                <w:color w:val="000000"/>
                <w:sz w:val="18"/>
                <w:szCs w:val="18"/>
                <w:lang w:eastAsia="sv-SE"/>
              </w:rPr>
            </w:pPr>
            <w:r>
              <w:rPr>
                <w:color w:val="000000"/>
                <w:sz w:val="18"/>
                <w:szCs w:val="18"/>
                <w:lang w:eastAsia="sv-SE"/>
              </w:rPr>
              <w:t>Plaster, syntetiskt material och gummi</w:t>
            </w:r>
          </w:p>
        </w:tc>
        <w:tc>
          <w:tcPr>
            <w:tcW w:w="1211" w:type="dxa"/>
            <w:tcBorders>
              <w:top w:val="nil"/>
              <w:left w:val="single" w:sz="4" w:space="0" w:color="auto"/>
              <w:bottom w:val="single" w:sz="4" w:space="0" w:color="auto"/>
              <w:right w:val="single" w:sz="4" w:space="0" w:color="auto"/>
            </w:tcBorders>
          </w:tcPr>
          <w:p w14:paraId="29E3C68A" w14:textId="58AA3900" w:rsidR="00386687" w:rsidRPr="00165AA6" w:rsidRDefault="00386687" w:rsidP="00557329">
            <w:pPr>
              <w:spacing w:line="240" w:lineRule="auto"/>
              <w:rPr>
                <w:color w:val="000000"/>
                <w:sz w:val="18"/>
                <w:szCs w:val="18"/>
                <w:lang w:eastAsia="sv-SE"/>
              </w:rPr>
            </w:pPr>
            <w:r w:rsidRPr="00D83AA8">
              <w:rPr>
                <w:color w:val="000000"/>
                <w:sz w:val="18"/>
                <w:szCs w:val="18"/>
                <w:lang w:eastAsia="sv-SE"/>
              </w:rPr>
              <w:t>0,0543</w:t>
            </w:r>
          </w:p>
        </w:tc>
        <w:tc>
          <w:tcPr>
            <w:tcW w:w="1936" w:type="dxa"/>
            <w:tcBorders>
              <w:top w:val="nil"/>
              <w:left w:val="single" w:sz="4" w:space="0" w:color="auto"/>
              <w:bottom w:val="single" w:sz="4" w:space="0" w:color="auto"/>
              <w:right w:val="single" w:sz="8" w:space="0" w:color="999999"/>
            </w:tcBorders>
            <w:noWrap/>
            <w:tcMar>
              <w:top w:w="0" w:type="dxa"/>
              <w:left w:w="108" w:type="dxa"/>
              <w:bottom w:w="0" w:type="dxa"/>
              <w:right w:w="108" w:type="dxa"/>
            </w:tcMar>
            <w:hideMark/>
          </w:tcPr>
          <w:p w14:paraId="22445ED2" w14:textId="1E1966EA" w:rsidR="00386687" w:rsidRPr="00165AA6" w:rsidRDefault="00386687" w:rsidP="00557329">
            <w:pPr>
              <w:spacing w:line="240" w:lineRule="auto"/>
              <w:rPr>
                <w:color w:val="000000"/>
                <w:sz w:val="18"/>
                <w:szCs w:val="18"/>
                <w:lang w:eastAsia="sv-SE"/>
              </w:rPr>
            </w:pPr>
            <w:r w:rsidRPr="00895AA4">
              <w:rPr>
                <w:color w:val="000000"/>
                <w:sz w:val="18"/>
                <w:szCs w:val="18"/>
                <w:lang w:eastAsia="sv-SE"/>
              </w:rPr>
              <w:t>0,1130</w:t>
            </w:r>
          </w:p>
        </w:tc>
      </w:tr>
      <w:tr w:rsidR="00D15156" w14:paraId="34C0D9CB" w14:textId="77777777" w:rsidTr="00386687">
        <w:trPr>
          <w:cantSplit/>
          <w:trHeight w:val="227"/>
        </w:trPr>
        <w:tc>
          <w:tcPr>
            <w:tcW w:w="38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F5A37C" w14:textId="55123E3E" w:rsidR="00D15156" w:rsidRPr="00D15156" w:rsidRDefault="00D15156" w:rsidP="00D15156">
            <w:pPr>
              <w:spacing w:line="240" w:lineRule="auto"/>
              <w:rPr>
                <w:i/>
                <w:iCs/>
                <w:color w:val="000000"/>
                <w:sz w:val="18"/>
                <w:szCs w:val="18"/>
                <w:lang w:eastAsia="sv-SE"/>
              </w:rPr>
            </w:pPr>
            <w:r w:rsidRPr="00D15156">
              <w:rPr>
                <w:i/>
                <w:iCs/>
                <w:color w:val="000000"/>
                <w:sz w:val="18"/>
                <w:szCs w:val="18"/>
                <w:lang w:eastAsia="sv-SE"/>
              </w:rPr>
              <w:t>Borttagen</w:t>
            </w:r>
          </w:p>
        </w:tc>
        <w:tc>
          <w:tcPr>
            <w:tcW w:w="2260" w:type="dxa"/>
            <w:tcBorders>
              <w:top w:val="single" w:sz="4" w:space="0" w:color="auto"/>
              <w:left w:val="single" w:sz="4" w:space="0" w:color="auto"/>
              <w:bottom w:val="single" w:sz="4" w:space="0" w:color="auto"/>
              <w:right w:val="single" w:sz="4" w:space="0" w:color="auto"/>
            </w:tcBorders>
          </w:tcPr>
          <w:p w14:paraId="6C8DB398" w14:textId="16629A4F" w:rsidR="00D15156" w:rsidRDefault="00D15156" w:rsidP="00D15156">
            <w:pPr>
              <w:spacing w:line="240" w:lineRule="auto"/>
              <w:rPr>
                <w:color w:val="000000"/>
                <w:sz w:val="18"/>
                <w:szCs w:val="18"/>
                <w:lang w:eastAsia="sv-SE"/>
              </w:rPr>
            </w:pPr>
            <w:r>
              <w:rPr>
                <w:color w:val="000000"/>
                <w:sz w:val="18"/>
                <w:szCs w:val="18"/>
                <w:lang w:eastAsia="sv-SE"/>
              </w:rPr>
              <w:t>Gödning, växtmaterial, djurfoder, kemikalier</w:t>
            </w:r>
          </w:p>
        </w:tc>
        <w:tc>
          <w:tcPr>
            <w:tcW w:w="1211" w:type="dxa"/>
            <w:tcBorders>
              <w:top w:val="single" w:sz="4" w:space="0" w:color="auto"/>
              <w:left w:val="single" w:sz="4" w:space="0" w:color="auto"/>
              <w:bottom w:val="single" w:sz="4" w:space="0" w:color="auto"/>
              <w:right w:val="single" w:sz="4" w:space="0" w:color="auto"/>
            </w:tcBorders>
          </w:tcPr>
          <w:p w14:paraId="132FCF9F" w14:textId="52CC4A03" w:rsidR="00D15156" w:rsidRPr="00D15156" w:rsidRDefault="00D15156" w:rsidP="00D15156">
            <w:pPr>
              <w:spacing w:line="240" w:lineRule="auto"/>
              <w:rPr>
                <w:i/>
                <w:iCs/>
                <w:color w:val="000000"/>
                <w:sz w:val="18"/>
                <w:szCs w:val="18"/>
                <w:lang w:eastAsia="sv-SE"/>
              </w:rPr>
            </w:pPr>
            <w:r w:rsidRPr="00D15156">
              <w:rPr>
                <w:i/>
                <w:iCs/>
                <w:color w:val="000000"/>
                <w:sz w:val="18"/>
                <w:szCs w:val="18"/>
                <w:lang w:eastAsia="sv-SE"/>
              </w:rPr>
              <w:t>Borttagen</w:t>
            </w:r>
          </w:p>
        </w:tc>
        <w:tc>
          <w:tcPr>
            <w:tcW w:w="193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3CD4EA" w14:textId="3208A8B2" w:rsidR="00D15156" w:rsidRPr="00895AA4" w:rsidRDefault="00D15156" w:rsidP="00D15156">
            <w:pPr>
              <w:spacing w:line="240" w:lineRule="auto"/>
              <w:rPr>
                <w:color w:val="000000"/>
                <w:sz w:val="18"/>
                <w:szCs w:val="18"/>
                <w:lang w:eastAsia="sv-SE"/>
              </w:rPr>
            </w:pPr>
            <w:r w:rsidRPr="008D79B2">
              <w:rPr>
                <w:color w:val="000000"/>
                <w:sz w:val="18"/>
                <w:szCs w:val="18"/>
                <w:lang w:eastAsia="sv-SE"/>
              </w:rPr>
              <w:t>0,095</w:t>
            </w:r>
            <w:r>
              <w:rPr>
                <w:color w:val="000000"/>
                <w:sz w:val="18"/>
                <w:szCs w:val="18"/>
                <w:lang w:eastAsia="sv-SE"/>
              </w:rPr>
              <w:t>1</w:t>
            </w:r>
          </w:p>
        </w:tc>
      </w:tr>
    </w:tbl>
    <w:p w14:paraId="6BE2B253" w14:textId="1C1AF849" w:rsidR="00136A7B" w:rsidRDefault="00136A7B" w:rsidP="00136A7B">
      <w:pPr>
        <w:spacing w:after="360"/>
        <w:rPr>
          <w:sz w:val="18"/>
          <w:szCs w:val="18"/>
        </w:rPr>
      </w:pPr>
      <w:r w:rsidRPr="00EE4216">
        <w:rPr>
          <w:b/>
          <w:bCs/>
          <w:sz w:val="18"/>
          <w:szCs w:val="18"/>
        </w:rPr>
        <w:t>Anm:</w:t>
      </w:r>
      <w:r w:rsidRPr="00EE4216">
        <w:rPr>
          <w:sz w:val="18"/>
          <w:szCs w:val="18"/>
        </w:rPr>
        <w:t xml:space="preserve"> Värden</w:t>
      </w:r>
      <w:r>
        <w:rPr>
          <w:sz w:val="18"/>
          <w:szCs w:val="18"/>
        </w:rPr>
        <w:t>a</w:t>
      </w:r>
      <w:r w:rsidRPr="00EE4216">
        <w:rPr>
          <w:sz w:val="18"/>
          <w:szCs w:val="18"/>
        </w:rPr>
        <w:t xml:space="preserve"> avser bara indirekta utsläpp, dvs scope 3. </w:t>
      </w:r>
      <w:r w:rsidRPr="00EE4216">
        <w:rPr>
          <w:sz w:val="18"/>
          <w:szCs w:val="18"/>
        </w:rPr>
        <w:br/>
        <w:t>Nya värden överensstämmer med Region Stockholms miljöspendanalys avseende 2021</w:t>
      </w:r>
      <w:r>
        <w:rPr>
          <w:sz w:val="18"/>
          <w:szCs w:val="18"/>
        </w:rPr>
        <w:t xml:space="preserve"> och är inflationsjusterade för 2022.</w:t>
      </w:r>
      <w:r>
        <w:rPr>
          <w:sz w:val="18"/>
          <w:szCs w:val="18"/>
        </w:rPr>
        <w:br/>
      </w:r>
      <w:r w:rsidRPr="00EE4216">
        <w:rPr>
          <w:sz w:val="18"/>
          <w:szCs w:val="18"/>
        </w:rPr>
        <w:t xml:space="preserve">Tidigare värden överensstämmer med </w:t>
      </w:r>
      <w:r w:rsidR="00EE0ECC">
        <w:rPr>
          <w:sz w:val="18"/>
          <w:szCs w:val="18"/>
        </w:rPr>
        <w:t>Upphandlingsmyndighetens miljöspendanalys från 2019</w:t>
      </w:r>
    </w:p>
    <w:p w14:paraId="4DA03697" w14:textId="77777777" w:rsidR="00486786" w:rsidRDefault="00486786" w:rsidP="004B3849"/>
    <w:p w14:paraId="612504EE" w14:textId="60FABD26" w:rsidR="004B3849" w:rsidRDefault="004B3849" w:rsidP="004B3849">
      <w:r w:rsidRPr="0064199C">
        <w:t xml:space="preserve">Djurhållning och markanvändning redovisas i scope 1. </w:t>
      </w:r>
      <w:r w:rsidR="008205BD">
        <w:t xml:space="preserve">Direkta utsläpp från insatsvaror redovisas i scope 1. </w:t>
      </w:r>
      <w:r w:rsidR="00D61AF9">
        <w:t>Inköp av varor kopplat till naturbruk redovisas i scope 3.</w:t>
      </w:r>
    </w:p>
    <w:p w14:paraId="643B0B1B" w14:textId="77777777" w:rsidR="004B3849" w:rsidRDefault="004B3849" w:rsidP="004B3849">
      <w:r>
        <w:t xml:space="preserve">Byggnader ska rapporteras enligt samma metodik som i den posten </w:t>
      </w:r>
      <w:r w:rsidRPr="00095BEA">
        <w:rPr>
          <w:i/>
          <w:iCs/>
        </w:rPr>
        <w:t>Fastigheter</w:t>
      </w:r>
      <w:r>
        <w:t>, om naturbrukslokalerna inte redan inkluderats där.</w:t>
      </w:r>
    </w:p>
    <w:tbl>
      <w:tblPr>
        <w:tblStyle w:val="Tabellrutnt"/>
        <w:tblpPr w:leftFromText="141" w:rightFromText="141" w:vertAnchor="text" w:horzAnchor="page" w:tblpX="1468" w:tblpY="46"/>
        <w:tblW w:w="0" w:type="auto"/>
        <w:tblCellMar>
          <w:top w:w="57" w:type="dxa"/>
          <w:bottom w:w="57" w:type="dxa"/>
        </w:tblCellMar>
        <w:tblLook w:val="04A0" w:firstRow="1" w:lastRow="0" w:firstColumn="1" w:lastColumn="0" w:noHBand="0" w:noVBand="1"/>
      </w:tblPr>
      <w:tblGrid>
        <w:gridCol w:w="9062"/>
      </w:tblGrid>
      <w:tr w:rsidR="004B3849" w14:paraId="5C99DFFF" w14:textId="77777777" w:rsidTr="00301573">
        <w:tc>
          <w:tcPr>
            <w:tcW w:w="9062" w:type="dxa"/>
          </w:tcPr>
          <w:p w14:paraId="4825F32F" w14:textId="77777777" w:rsidR="004B3849" w:rsidRPr="002E4BDA" w:rsidRDefault="004B3849" w:rsidP="00301573">
            <w:pPr>
              <w:rPr>
                <w:b/>
                <w:bCs/>
              </w:rPr>
            </w:pPr>
            <w:r w:rsidRPr="002E4BDA">
              <w:rPr>
                <w:b/>
                <w:bCs/>
              </w:rPr>
              <w:t>Att beräkna utsläpp från naturbruk</w:t>
            </w:r>
            <w:r>
              <w:rPr>
                <w:b/>
                <w:bCs/>
              </w:rPr>
              <w:t xml:space="preserve"> </w:t>
            </w:r>
            <w:r>
              <w:rPr>
                <w:b/>
                <w:bCs/>
              </w:rPr>
              <w:br/>
            </w:r>
            <w:r>
              <w:rPr>
                <w:bCs/>
              </w:rPr>
              <w:t>D</w:t>
            </w:r>
            <w:r w:rsidRPr="008978CE">
              <w:rPr>
                <w:bCs/>
              </w:rPr>
              <w:t>jurhållning</w:t>
            </w:r>
            <w:r>
              <w:rPr>
                <w:bCs/>
              </w:rPr>
              <w:t xml:space="preserve">, </w:t>
            </w:r>
            <w:r w:rsidRPr="008978CE">
              <w:rPr>
                <w:bCs/>
              </w:rPr>
              <w:t>markanvändning</w:t>
            </w:r>
            <w:r>
              <w:rPr>
                <w:bCs/>
              </w:rPr>
              <w:t xml:space="preserve"> och insatsvaror</w:t>
            </w:r>
            <w:r>
              <w:rPr>
                <w:bCs/>
              </w:rPr>
              <w:br/>
            </w:r>
          </w:p>
          <w:p w14:paraId="72EF2CE2" w14:textId="5613B3A5" w:rsidR="004B3849" w:rsidRDefault="004B3849" w:rsidP="00301573">
            <w:r>
              <w:t xml:space="preserve">Som stöd kan </w:t>
            </w:r>
            <w:r w:rsidRPr="002318FD">
              <w:t xml:space="preserve">också exempelvis </w:t>
            </w:r>
            <w:hyperlink r:id="rId39" w:history="1">
              <w:r w:rsidRPr="002318FD">
                <w:rPr>
                  <w:rStyle w:val="Hyperlnk"/>
                </w:rPr>
                <w:t>beräkningsverktyget Vera</w:t>
              </w:r>
            </w:hyperlink>
            <w:r w:rsidRPr="002318FD">
              <w:t xml:space="preserve"> användas</w:t>
            </w:r>
            <w:r>
              <w:t>. Det är i huvudsak riktat till rådgivare i Greppa Näringen, men även andra aktörer kan köra en grundinstallation av Vera till en relativt låg kostnad. I verktyget finns de nyckeltal som krävs för beräkning av klimatpåverkan från lantbruk.</w:t>
            </w:r>
          </w:p>
        </w:tc>
      </w:tr>
    </w:tbl>
    <w:p w14:paraId="16332A42" w14:textId="77777777" w:rsidR="004B3849" w:rsidRDefault="004B3849" w:rsidP="004B3849"/>
    <w:p w14:paraId="1D4E0883" w14:textId="1C279BD0" w:rsidR="00301573" w:rsidRDefault="00301573">
      <w:pPr>
        <w:spacing w:line="259" w:lineRule="auto"/>
      </w:pPr>
      <w:r>
        <w:br w:type="page"/>
      </w:r>
    </w:p>
    <w:p w14:paraId="55A93E1D" w14:textId="77777777" w:rsidR="00E14ED5" w:rsidRDefault="00DD2218" w:rsidP="008A70A4">
      <w:pPr>
        <w:pStyle w:val="Rubrik2"/>
      </w:pPr>
      <w:bookmarkStart w:id="105" w:name="_Toc152920061"/>
      <w:r>
        <w:t xml:space="preserve">5. </w:t>
      </w:r>
      <w:r w:rsidR="00E14ED5" w:rsidRPr="008573C5">
        <w:t>Hel- eller delägda bolag</w:t>
      </w:r>
      <w:r w:rsidR="002747E5">
        <w:t xml:space="preserve"> utanför kärnverksamhet</w:t>
      </w:r>
      <w:r w:rsidR="00B53F7C">
        <w:t>en</w:t>
      </w:r>
      <w:bookmarkEnd w:id="105"/>
    </w:p>
    <w:p w14:paraId="58C0C509" w14:textId="77777777" w:rsidR="00162D38" w:rsidRPr="00563A15" w:rsidRDefault="00162D38" w:rsidP="00384F41">
      <w:pPr>
        <w:pStyle w:val="Rubrik4"/>
      </w:pPr>
      <w:r w:rsidRPr="004672CE">
        <w:t>Omfattning/avgränsningar</w:t>
      </w:r>
    </w:p>
    <w:p w14:paraId="7653D6B0" w14:textId="77777777" w:rsidR="00F4256C" w:rsidRDefault="00162D38" w:rsidP="00787CB0">
      <w:r>
        <w:t xml:space="preserve">I denna post inkluderas </w:t>
      </w:r>
      <w:r w:rsidR="008F4A94">
        <w:t>hel- och delägda bolag utför kärnverksamheten, exempelvis flygplatser</w:t>
      </w:r>
      <w:r w:rsidR="009D61AF">
        <w:t>, kulturbolag eller bolag för utvecklande av turistnäring</w:t>
      </w:r>
      <w:r w:rsidR="008F4A94">
        <w:t>, utifrån regionens procentuella ägandeskap.</w:t>
      </w:r>
    </w:p>
    <w:p w14:paraId="096017C6" w14:textId="77777777" w:rsidR="00BF7AD5" w:rsidRDefault="00C96032" w:rsidP="00787CB0">
      <w:r>
        <w:t xml:space="preserve">Verksamhet i bolagsform inom </w:t>
      </w:r>
      <w:r w:rsidR="00870DBB">
        <w:t>kollektivtrafik</w:t>
      </w:r>
      <w:r>
        <w:t xml:space="preserve">, </w:t>
      </w:r>
      <w:r w:rsidR="00870DBB">
        <w:t>tandvård</w:t>
      </w:r>
      <w:r w:rsidR="00EC3541">
        <w:t>, tvätteri</w:t>
      </w:r>
      <w:r w:rsidR="00870DBB">
        <w:t xml:space="preserve"> </w:t>
      </w:r>
      <w:r>
        <w:t xml:space="preserve">och sjukvård </w:t>
      </w:r>
      <w:r w:rsidR="00870DBB">
        <w:t>ska</w:t>
      </w:r>
      <w:r w:rsidR="003A433F">
        <w:t xml:space="preserve"> ej inkluderas i denna post utan</w:t>
      </w:r>
      <w:r>
        <w:t xml:space="preserve"> </w:t>
      </w:r>
      <w:r w:rsidR="004F1597">
        <w:t xml:space="preserve">i </w:t>
      </w:r>
      <w:r>
        <w:t xml:space="preserve">ovanstående </w:t>
      </w:r>
      <w:r w:rsidR="004F1597">
        <w:t xml:space="preserve">poster </w:t>
      </w:r>
      <w:r w:rsidR="00512B87">
        <w:t xml:space="preserve">såsom </w:t>
      </w:r>
      <w:r w:rsidR="00F1110E">
        <w:t>exempelvis</w:t>
      </w:r>
      <w:r w:rsidR="00A4220A">
        <w:t xml:space="preserve"> </w:t>
      </w:r>
      <w:r w:rsidR="004F1597">
        <w:t>Fastigheter</w:t>
      </w:r>
      <w:r>
        <w:t xml:space="preserve">, </w:t>
      </w:r>
      <w:r w:rsidR="00F1110E">
        <w:t>I</w:t>
      </w:r>
      <w:r>
        <w:t>nköp</w:t>
      </w:r>
      <w:r w:rsidR="003A433F">
        <w:t xml:space="preserve"> och </w:t>
      </w:r>
      <w:r w:rsidR="00F1110E">
        <w:t>T</w:t>
      </w:r>
      <w:r>
        <w:t>ransporter</w:t>
      </w:r>
      <w:r w:rsidR="00F1110E">
        <w:t>.</w:t>
      </w:r>
    </w:p>
    <w:p w14:paraId="467CC7E4" w14:textId="77777777" w:rsidR="00837BC0" w:rsidRPr="00373259" w:rsidRDefault="00837BC0" w:rsidP="00837BC0">
      <w:pPr>
        <w:pStyle w:val="Rubrik4"/>
        <w:rPr>
          <w:i/>
        </w:rPr>
      </w:pPr>
      <w:r w:rsidRPr="00373259">
        <w:t>Underlag och beräkningsmetod</w:t>
      </w:r>
    </w:p>
    <w:p w14:paraId="3C0D622D" w14:textId="77777777" w:rsidR="005E443E" w:rsidRDefault="00837BC0" w:rsidP="00787CB0">
      <w:r>
        <w:t xml:space="preserve">Regionen ska i första hand rapportera in </w:t>
      </w:r>
      <w:r w:rsidR="00487ECD">
        <w:t>utsläpp för</w:t>
      </w:r>
      <w:r w:rsidR="004E5773">
        <w:t xml:space="preserve"> sin andel </w:t>
      </w:r>
      <w:r w:rsidR="006304F6">
        <w:t>av bolagets utsläpp i scope 1</w:t>
      </w:r>
      <w:r w:rsidR="008C1E67">
        <w:t xml:space="preserve">, </w:t>
      </w:r>
      <w:r w:rsidR="006304F6">
        <w:t xml:space="preserve">2 </w:t>
      </w:r>
      <w:r w:rsidR="008C1E67">
        <w:t xml:space="preserve">och </w:t>
      </w:r>
      <w:r w:rsidR="006304F6">
        <w:t xml:space="preserve">scope 3. </w:t>
      </w:r>
      <w:r w:rsidR="001B7008">
        <w:t xml:space="preserve">Lägg märke till att </w:t>
      </w:r>
      <w:r w:rsidR="00905769">
        <w:t xml:space="preserve">verktyget allokerar samtliga utsläpp i regionens scope 3. </w:t>
      </w:r>
    </w:p>
    <w:p w14:paraId="687C24D9" w14:textId="77777777" w:rsidR="005E443E" w:rsidRDefault="005E443E" w:rsidP="00787CB0">
      <w:r>
        <w:t xml:space="preserve">Som exempel kan nämnas att utsläpp i scope 3 för flygplatser </w:t>
      </w:r>
      <w:r w:rsidR="00E07BEB">
        <w:t>inkluderar bland annat LTO-cykel</w:t>
      </w:r>
      <w:r w:rsidR="0005108D">
        <w:t xml:space="preserve"> (Landing and Take-Off cycle</w:t>
      </w:r>
      <w:r w:rsidR="00A1091F">
        <w:t>)</w:t>
      </w:r>
      <w:r w:rsidR="0005108D">
        <w:t>. Denna innebär utsläpp från flygplanen under höjden 3 000 fot</w:t>
      </w:r>
      <w:r w:rsidR="00A1091F">
        <w:t xml:space="preserve">, </w:t>
      </w:r>
      <w:r w:rsidR="0005108D">
        <w:t>915 meter</w:t>
      </w:r>
      <w:r w:rsidR="00A1091F">
        <w:t>,</w:t>
      </w:r>
      <w:r w:rsidR="0005108D">
        <w:t xml:space="preserve"> inklusive </w:t>
      </w:r>
      <w:r w:rsidR="00A1091F">
        <w:t xml:space="preserve">exempelvis </w:t>
      </w:r>
      <w:r w:rsidR="0005108D">
        <w:t>taxning, det vill säga flygplanens transporter på marken</w:t>
      </w:r>
      <w:r w:rsidR="00D60E9A">
        <w:t>.</w:t>
      </w:r>
    </w:p>
    <w:p w14:paraId="7D9E8420" w14:textId="77777777" w:rsidR="00B0415C" w:rsidRDefault="00266EE5" w:rsidP="00787CB0">
      <w:r w:rsidRPr="00B5554B">
        <w:t>I vissa situationer kan regionen köpa in produkter eller tjänster från si</w:t>
      </w:r>
      <w:r w:rsidR="0043306C" w:rsidRPr="00B5554B">
        <w:t xml:space="preserve">na hel- eller delägda bolag. I största möjliga mån ska utsläppen för dessa räknas av </w:t>
      </w:r>
      <w:r w:rsidR="00B5554B" w:rsidRPr="00B5554B">
        <w:t xml:space="preserve">från denna post för att undvika dubbelräkning. </w:t>
      </w:r>
    </w:p>
    <w:p w14:paraId="453FC406" w14:textId="77777777" w:rsidR="00A11DCA" w:rsidRDefault="00A11DCA">
      <w:pPr>
        <w:spacing w:line="259" w:lineRule="auto"/>
      </w:pPr>
      <w:r>
        <w:br w:type="page"/>
      </w:r>
    </w:p>
    <w:p w14:paraId="3A4FF285" w14:textId="77777777" w:rsidR="00E14ED5" w:rsidRDefault="0094286E" w:rsidP="008A70A4">
      <w:pPr>
        <w:pStyle w:val="Rubrik2"/>
      </w:pPr>
      <w:bookmarkStart w:id="106" w:name="_Toc152920062"/>
      <w:r>
        <w:t xml:space="preserve">6. </w:t>
      </w:r>
      <w:r w:rsidR="00E14ED5" w:rsidRPr="008573C5">
        <w:t>Kapitalplaceringar</w:t>
      </w:r>
      <w:bookmarkEnd w:id="106"/>
    </w:p>
    <w:p w14:paraId="2817B814" w14:textId="77777777" w:rsidR="00524FB5" w:rsidRDefault="00524FB5" w:rsidP="00524FB5">
      <w:pPr>
        <w:pStyle w:val="Rubrik4"/>
      </w:pPr>
      <w:r w:rsidRPr="00373259">
        <w:t>Omfattning/avgränsningar</w:t>
      </w:r>
    </w:p>
    <w:p w14:paraId="30FD8FFD" w14:textId="77777777" w:rsidR="00524FB5" w:rsidRDefault="00524FB5" w:rsidP="00524FB5">
      <w:r>
        <w:t xml:space="preserve">Investeringar kan ske via aktieplaceringar eller via räntebärande värdepapper. </w:t>
      </w:r>
      <w:r w:rsidR="007252B3">
        <w:t xml:space="preserve">I dagsläget saknas </w:t>
      </w:r>
      <w:r w:rsidR="00C22ECA">
        <w:t xml:space="preserve">ofta </w:t>
      </w:r>
      <w:r w:rsidR="003A53B8" w:rsidRPr="00670733">
        <w:t>tillförlitliga data</w:t>
      </w:r>
      <w:r w:rsidRPr="00670733">
        <w:t xml:space="preserve"> och mätmetoder</w:t>
      </w:r>
      <w:r>
        <w:t xml:space="preserve"> när det gäller räntebärande värdepapper</w:t>
      </w:r>
      <w:r w:rsidR="00C22ECA">
        <w:t xml:space="preserve">. Posten kan därför avgränsas till </w:t>
      </w:r>
      <w:r>
        <w:t xml:space="preserve">enbart omfatta aktieplaceringar. </w:t>
      </w:r>
      <w:r w:rsidR="00EA65BC">
        <w:t xml:space="preserve">Modellen ger också utrymme för att </w:t>
      </w:r>
      <w:r w:rsidR="00C22ECA">
        <w:t>regione</w:t>
      </w:r>
      <w:r w:rsidR="00EA65BC">
        <w:t>n</w:t>
      </w:r>
      <w:r w:rsidR="00C22ECA">
        <w:t xml:space="preserve"> redovisar räntebärande</w:t>
      </w:r>
      <w:r w:rsidR="00EA65BC">
        <w:t xml:space="preserve"> värdepapper</w:t>
      </w:r>
      <w:r w:rsidR="0051738B">
        <w:t>, vilket bör göras när så är möjligt.</w:t>
      </w:r>
      <w:r w:rsidR="00C22ECA">
        <w:t xml:space="preserve">  </w:t>
      </w:r>
    </w:p>
    <w:p w14:paraId="0A89A3A5" w14:textId="77777777" w:rsidR="00AB60C9" w:rsidRDefault="00AB60C9" w:rsidP="00524FB5">
      <w:r>
        <w:t>Lägg märke till att det finns en viss risk för dubbelrapportering av utsläpp i de fall regionen äger aktier i ett av bolagen som levererar produkter till regionen. Denna överlapp bedöms dock vara relativ</w:t>
      </w:r>
      <w:r w:rsidR="00EF5546">
        <w:t>t låg.</w:t>
      </w:r>
    </w:p>
    <w:p w14:paraId="5D57B666" w14:textId="77777777" w:rsidR="00524FB5" w:rsidRPr="00373259" w:rsidRDefault="00524FB5" w:rsidP="00524FB5">
      <w:pPr>
        <w:pStyle w:val="Rubrik4"/>
        <w:rPr>
          <w:i/>
        </w:rPr>
      </w:pPr>
      <w:r w:rsidRPr="00373259">
        <w:t>Underlag och beräkningsmetod</w:t>
      </w:r>
    </w:p>
    <w:p w14:paraId="08FD4F82" w14:textId="77777777" w:rsidR="00524FB5" w:rsidRDefault="00524FB5" w:rsidP="00524FB5">
      <w:r>
        <w:t xml:space="preserve">Regionen sammanställer aktieinnehavet per den 31 december aktuellt år. </w:t>
      </w:r>
    </w:p>
    <w:p w14:paraId="78DFE9A4" w14:textId="77777777" w:rsidR="00524FB5" w:rsidRDefault="00B8065B" w:rsidP="00524FB5">
      <w:r>
        <w:t xml:space="preserve">Regionen bör redovisa </w:t>
      </w:r>
      <w:r w:rsidR="00524FB5">
        <w:t xml:space="preserve">samtliga utsläpp som är kopplade till aktieinnehaven </w:t>
      </w:r>
      <w:r>
        <w:t xml:space="preserve">det vill säga </w:t>
      </w:r>
      <w:r w:rsidR="00524FB5">
        <w:t xml:space="preserve">scope 1, 2 och 3. I </w:t>
      </w:r>
      <w:r w:rsidR="00722C02">
        <w:t xml:space="preserve">klimatredovisningen </w:t>
      </w:r>
      <w:r w:rsidR="00524FB5">
        <w:t>bör dock</w:t>
      </w:r>
      <w:r w:rsidR="00310A5F">
        <w:t>, om möjligt,</w:t>
      </w:r>
      <w:r w:rsidR="00524FB5">
        <w:t xml:space="preserve"> ett tydliggörande göras kring hur stor del som är kopplat till aktiebolagens scope 1 och 2 samt till scope 3.</w:t>
      </w:r>
      <w:r w:rsidR="00310A5F">
        <w:t xml:space="preserve"> Detta för att öka möjligheten till jämförbarhet mellan regionerna. </w:t>
      </w:r>
    </w:p>
    <w:p w14:paraId="41133A5B" w14:textId="77777777" w:rsidR="00524FB5" w:rsidRDefault="00DD729E" w:rsidP="00524FB5">
      <w:pPr>
        <w:rPr>
          <w:rFonts w:eastAsiaTheme="majorEastAsia" w:cstheme="majorBidi"/>
          <w:b/>
          <w:sz w:val="24"/>
          <w:szCs w:val="26"/>
        </w:rPr>
      </w:pPr>
      <w:r>
        <w:t xml:space="preserve">De sammanställda utsläppen för regionen </w:t>
      </w:r>
      <w:r w:rsidR="00524FB5">
        <w:t xml:space="preserve">redovisas i scope 3 i </w:t>
      </w:r>
      <w:r w:rsidR="00722C02">
        <w:t xml:space="preserve">klimatredovisningen </w:t>
      </w:r>
      <w:r w:rsidR="00524FB5">
        <w:t>med ett förtydligande om fördelning mellan scope 1</w:t>
      </w:r>
      <w:r w:rsidR="00B8065B">
        <w:t xml:space="preserve"> och </w:t>
      </w:r>
      <w:r w:rsidR="00524FB5">
        <w:t>2 respektive scope 3 enligt ovan.</w:t>
      </w:r>
    </w:p>
    <w:p w14:paraId="19B27F9D" w14:textId="77777777" w:rsidR="00524FB5" w:rsidRDefault="00524FB5" w:rsidP="00524FB5">
      <w:r>
        <w:t xml:space="preserve">För att följa utvecklingen när det gäller regionernas arbete med att välja så klimatsmarta placeringar som möjligt kan även något av följande nyckeltal </w:t>
      </w:r>
      <w:r w:rsidRPr="00121036">
        <w:t xml:space="preserve">för aktieportföljen </w:t>
      </w:r>
      <w:r>
        <w:t xml:space="preserve">följas över tid. </w:t>
      </w:r>
      <w:r w:rsidR="00F53AF3">
        <w:t xml:space="preserve">I första hand bör </w:t>
      </w:r>
      <w:r w:rsidRPr="00F53AF3">
        <w:rPr>
          <w:i/>
          <w:iCs/>
        </w:rPr>
        <w:t>Carbon Intensity</w:t>
      </w:r>
      <w:r>
        <w:t xml:space="preserve"> </w:t>
      </w:r>
      <w:r w:rsidR="00F53AF3">
        <w:t>användas.</w:t>
      </w:r>
    </w:p>
    <w:p w14:paraId="6FD6799B" w14:textId="17A0F81E" w:rsidR="00524FB5" w:rsidRDefault="00524FB5" w:rsidP="00524FB5">
      <w:r w:rsidRPr="001E2F33">
        <w:rPr>
          <w:i/>
        </w:rPr>
        <w:t>Carbon Intensity</w:t>
      </w:r>
      <w:r>
        <w:t xml:space="preserve"> </w:t>
      </w:r>
      <w:r w:rsidR="00DD729E">
        <w:br/>
      </w:r>
      <w:r>
        <w:t xml:space="preserve">Visar hur koldioxidintensiv ett bolag är. Här </w:t>
      </w:r>
      <w:r w:rsidR="00DD729E">
        <w:t>beräknas</w:t>
      </w:r>
      <w:r>
        <w:t xml:space="preserve"> bolagens totala utsläpp </w:t>
      </w:r>
      <w:r w:rsidR="00DD4013">
        <w:t xml:space="preserve">i förhållande till </w:t>
      </w:r>
      <w:r>
        <w:t xml:space="preserve">bolagets omsättning. </w:t>
      </w:r>
      <w:r w:rsidR="00DD4013">
        <w:t>Utsläppen bedöms sedan i förhållande till an</w:t>
      </w:r>
      <w:r>
        <w:t xml:space="preserve">talet aktier </w:t>
      </w:r>
      <w:r w:rsidR="00934173">
        <w:t>s</w:t>
      </w:r>
      <w:r w:rsidR="00DD4013">
        <w:t>om regionen</w:t>
      </w:r>
      <w:r>
        <w:t xml:space="preserve"> äger i bolaget. Aktiekursen </w:t>
      </w:r>
      <w:r w:rsidR="00DD4013">
        <w:t>är ej relevant</w:t>
      </w:r>
      <w:r>
        <w:t xml:space="preserve">. </w:t>
      </w:r>
    </w:p>
    <w:p w14:paraId="12042BC5" w14:textId="77777777" w:rsidR="00524FB5" w:rsidRDefault="00524FB5" w:rsidP="00524FB5">
      <w:r w:rsidRPr="001E2F33">
        <w:rPr>
          <w:i/>
        </w:rPr>
        <w:t>Relativ Carbon footprint</w:t>
      </w:r>
      <w:r>
        <w:rPr>
          <w:i/>
        </w:rPr>
        <w:t xml:space="preserve"> </w:t>
      </w:r>
      <w:r w:rsidR="00DD4013">
        <w:rPr>
          <w:i/>
        </w:rPr>
        <w:br/>
      </w:r>
      <w:r>
        <w:t xml:space="preserve">Visar koldioxidavtrycket per </w:t>
      </w:r>
      <w:r w:rsidR="00356CB1">
        <w:t>MSEK</w:t>
      </w:r>
      <w:r>
        <w:t xml:space="preserve"> investerade medel. D</w:t>
      </w:r>
      <w:r w:rsidR="00DD4013">
        <w:t>et vill säga att om</w:t>
      </w:r>
      <w:r>
        <w:t xml:space="preserve"> börsvärdet </w:t>
      </w:r>
      <w:r w:rsidR="00A772F3">
        <w:t xml:space="preserve">går </w:t>
      </w:r>
      <w:r>
        <w:t>upp på bolag som inte släpper ut något CO</w:t>
      </w:r>
      <w:r w:rsidRPr="001E2F33">
        <w:rPr>
          <w:vertAlign w:val="subscript"/>
        </w:rPr>
        <w:t>2</w:t>
      </w:r>
      <w:r>
        <w:t xml:space="preserve"> så </w:t>
      </w:r>
      <w:r w:rsidR="001A641C">
        <w:t>ges</w:t>
      </w:r>
      <w:r>
        <w:t xml:space="preserve"> bättre värde, då dessa bolag väger tyngre.</w:t>
      </w:r>
    </w:p>
    <w:tbl>
      <w:tblPr>
        <w:tblStyle w:val="Tabellrutnt"/>
        <w:tblW w:w="0" w:type="auto"/>
        <w:tblCellMar>
          <w:top w:w="57" w:type="dxa"/>
          <w:bottom w:w="57" w:type="dxa"/>
        </w:tblCellMar>
        <w:tblLook w:val="04A0" w:firstRow="1" w:lastRow="0" w:firstColumn="1" w:lastColumn="0" w:noHBand="0" w:noVBand="1"/>
      </w:tblPr>
      <w:tblGrid>
        <w:gridCol w:w="9062"/>
      </w:tblGrid>
      <w:tr w:rsidR="00C051B3" w14:paraId="0BB840EA" w14:textId="77777777" w:rsidTr="004631DD">
        <w:tc>
          <w:tcPr>
            <w:tcW w:w="9062" w:type="dxa"/>
          </w:tcPr>
          <w:p w14:paraId="450FCCCE" w14:textId="77777777" w:rsidR="00C051B3" w:rsidRPr="001A641C" w:rsidRDefault="00C051B3" w:rsidP="00524FB5">
            <w:pPr>
              <w:rPr>
                <w:b/>
                <w:bCs/>
              </w:rPr>
            </w:pPr>
            <w:r w:rsidRPr="001A641C">
              <w:rPr>
                <w:b/>
                <w:bCs/>
              </w:rPr>
              <w:t>Att beräkna utsläpp från aktier</w:t>
            </w:r>
          </w:p>
          <w:p w14:paraId="0A30C312" w14:textId="77777777" w:rsidR="00C051B3" w:rsidRDefault="00C051B3" w:rsidP="00524FB5">
            <w:r w:rsidRPr="00C20A52">
              <w:t>Det finns flera tjänsteleverantörer för screening av finansportföljer</w:t>
            </w:r>
            <w:r>
              <w:t xml:space="preserve"> som kan anlitas</w:t>
            </w:r>
            <w:r w:rsidRPr="00C20A52">
              <w:t xml:space="preserve">. Bland de som regionerna har använt </w:t>
            </w:r>
            <w:r>
              <w:t>hittills är t</w:t>
            </w:r>
            <w:r w:rsidR="001A641C">
              <w:t>ill exempel</w:t>
            </w:r>
            <w:r w:rsidRPr="00C20A52">
              <w:t xml:space="preserve"> ISS Ethix Solution’s Carbon Screening Services, Bloomberg och MSCI.</w:t>
            </w:r>
          </w:p>
        </w:tc>
      </w:tr>
    </w:tbl>
    <w:p w14:paraId="369F0D67" w14:textId="37732F21" w:rsidR="00933829" w:rsidRDefault="00933829" w:rsidP="00FE2C0C"/>
    <w:p w14:paraId="58E3CD98" w14:textId="77777777" w:rsidR="00933829" w:rsidRDefault="00933829">
      <w:pPr>
        <w:spacing w:line="259" w:lineRule="auto"/>
      </w:pPr>
      <w:r>
        <w:br w:type="page"/>
      </w:r>
    </w:p>
    <w:p w14:paraId="5E071C89" w14:textId="4435853E" w:rsidR="009E5CCC" w:rsidRPr="009E5CCC" w:rsidRDefault="0094286E" w:rsidP="008A70A4">
      <w:pPr>
        <w:pStyle w:val="Rubrik2"/>
      </w:pPr>
      <w:bookmarkStart w:id="107" w:name="_Toc152920063"/>
      <w:r>
        <w:t xml:space="preserve">7. </w:t>
      </w:r>
      <w:r w:rsidR="00E14ED5" w:rsidRPr="002318FD">
        <w:t>Övrigt</w:t>
      </w:r>
      <w:r w:rsidR="009E5CCC" w:rsidRPr="002318FD">
        <w:t xml:space="preserve"> – förskrivna läkemedel</w:t>
      </w:r>
      <w:bookmarkEnd w:id="107"/>
      <w:r w:rsidR="009E5CCC" w:rsidRPr="002318FD">
        <w:t xml:space="preserve"> </w:t>
      </w:r>
    </w:p>
    <w:p w14:paraId="263DD739" w14:textId="77777777" w:rsidR="00E14ED5" w:rsidRDefault="00E14ED5" w:rsidP="00DF56D9">
      <w:pPr>
        <w:pStyle w:val="Rubrik3"/>
      </w:pPr>
      <w:bookmarkStart w:id="108" w:name="_Toc92867358"/>
      <w:bookmarkStart w:id="109" w:name="_Toc93482429"/>
      <w:bookmarkStart w:id="110" w:name="_Toc152920064"/>
      <w:r w:rsidRPr="008573C5">
        <w:t>Förskrivna läkemedel</w:t>
      </w:r>
      <w:bookmarkEnd w:id="108"/>
      <w:bookmarkEnd w:id="109"/>
      <w:bookmarkEnd w:id="110"/>
    </w:p>
    <w:p w14:paraId="2D767A27" w14:textId="77777777" w:rsidR="00EC389E" w:rsidRPr="00373259" w:rsidRDefault="00EC389E" w:rsidP="00EC389E">
      <w:pPr>
        <w:pStyle w:val="Rubrik4"/>
        <w:rPr>
          <w:i/>
        </w:rPr>
      </w:pPr>
      <w:r w:rsidRPr="00373259">
        <w:t>Omfattning/avgränsningar</w:t>
      </w:r>
    </w:p>
    <w:p w14:paraId="3538F8D8" w14:textId="77777777" w:rsidR="00EC389E" w:rsidRDefault="00DC6CFD" w:rsidP="00EC389E">
      <w:r>
        <w:t>Klimatpåverkande utsläpp från förskrivna läkemedel är en indirekt påverkan för regione</w:t>
      </w:r>
      <w:r w:rsidR="00657F5B">
        <w:t xml:space="preserve">n. Beroende för typ av läkemedel eller utrustning som </w:t>
      </w:r>
      <w:r w:rsidR="00161F75">
        <w:t>förskrivs</w:t>
      </w:r>
      <w:r w:rsidR="00657F5B">
        <w:t xml:space="preserve"> kan dock klimatpåverkan vara relativt stor per enhet. Ett sådant exempel är </w:t>
      </w:r>
      <w:r w:rsidR="00EC389E">
        <w:t xml:space="preserve">inhalatorer </w:t>
      </w:r>
      <w:r w:rsidR="00657F5B">
        <w:t xml:space="preserve">för </w:t>
      </w:r>
      <w:r w:rsidR="00EC389E">
        <w:t xml:space="preserve">astmamedicin beroende på om </w:t>
      </w:r>
      <w:r w:rsidR="00EC389E" w:rsidRPr="007B0D19">
        <w:t xml:space="preserve">pulverinhalator </w:t>
      </w:r>
      <w:r w:rsidR="00EC389E">
        <w:t>eller drivgasinhalator förskrivs.</w:t>
      </w:r>
    </w:p>
    <w:p w14:paraId="65AF45AA" w14:textId="77777777" w:rsidR="00657F5B" w:rsidRDefault="00657F5B" w:rsidP="00EC389E">
      <w:r>
        <w:t xml:space="preserve">I denna post rapporteras utsläpp för både utskrivna läkemedel och tillhörande </w:t>
      </w:r>
      <w:r w:rsidR="00DB552D">
        <w:t>medicinskteknisk</w:t>
      </w:r>
      <w:r>
        <w:t xml:space="preserve"> utrustning</w:t>
      </w:r>
      <w:r w:rsidR="00194E8D">
        <w:t>, så som inhalatorer</w:t>
      </w:r>
      <w:r>
        <w:t xml:space="preserve">. </w:t>
      </w:r>
    </w:p>
    <w:p w14:paraId="10108ABD" w14:textId="77777777" w:rsidR="00E013E3" w:rsidRDefault="00C262DE" w:rsidP="00384F41">
      <w:r w:rsidRPr="00E013E3">
        <w:t xml:space="preserve">Posten </w:t>
      </w:r>
      <w:r w:rsidR="00295818">
        <w:t>kan i dagsläget ses som avancerad nivå för redov</w:t>
      </w:r>
      <w:r w:rsidR="0051738B">
        <w:t>i</w:t>
      </w:r>
      <w:r w:rsidR="00295818">
        <w:t>sn</w:t>
      </w:r>
      <w:r w:rsidR="0051738B">
        <w:t>i</w:t>
      </w:r>
      <w:r w:rsidR="009003B2">
        <w:t>n</w:t>
      </w:r>
      <w:r w:rsidR="00295818">
        <w:t xml:space="preserve">gen, men </w:t>
      </w:r>
      <w:r w:rsidR="009003B2">
        <w:t xml:space="preserve">i takt med att utsläpps- och läkemedelsdata blir mer tillgängligt </w:t>
      </w:r>
      <w:r w:rsidR="00747058">
        <w:t xml:space="preserve">bör rapporteringen i denna post öka. </w:t>
      </w:r>
    </w:p>
    <w:p w14:paraId="65A7316D" w14:textId="77777777" w:rsidR="00EC389E" w:rsidRPr="00373259" w:rsidRDefault="00EC389E" w:rsidP="00EC389E">
      <w:pPr>
        <w:pStyle w:val="Rubrik4"/>
        <w:rPr>
          <w:i/>
        </w:rPr>
      </w:pPr>
      <w:r w:rsidRPr="00373259">
        <w:t>Underlag och beräkningsmetod</w:t>
      </w:r>
    </w:p>
    <w:p w14:paraId="5A200859" w14:textId="77777777" w:rsidR="001D449B" w:rsidRDefault="00F65C70" w:rsidP="00A31C4B">
      <w:r>
        <w:t>Regionen kan välja att beräkna utsläppen från inhalatorer (drivgas och pulver) direkt i verktyget.</w:t>
      </w:r>
    </w:p>
    <w:p w14:paraId="19ED31CD" w14:textId="77777777" w:rsidR="00F65C70" w:rsidRPr="006D22BC" w:rsidRDefault="001D449B" w:rsidP="00A31C4B">
      <w:r>
        <w:t xml:space="preserve">Dessutom kan regionen lägga in egna beräkningar för övriga föreskrivna läkemedel. </w:t>
      </w:r>
    </w:p>
    <w:p w14:paraId="3B9C356D" w14:textId="77777777" w:rsidR="00EC389E" w:rsidRDefault="00A31C4B" w:rsidP="00EC389E">
      <w:r>
        <w:t>Posten redovisas i scope 3.</w:t>
      </w:r>
    </w:p>
    <w:p w14:paraId="72BA7A06" w14:textId="77777777" w:rsidR="004672CE" w:rsidRPr="004672CE" w:rsidRDefault="00563A15" w:rsidP="00563A15">
      <w:pPr>
        <w:spacing w:after="0" w:line="240" w:lineRule="auto"/>
      </w:pPr>
      <w:r w:rsidRPr="004672CE">
        <w:rPr>
          <w:b/>
          <w:bCs/>
        </w:rPr>
        <w:t>Läs mer:</w:t>
      </w:r>
      <w:r w:rsidRPr="004672CE">
        <w:t xml:space="preserve"> </w:t>
      </w:r>
    </w:p>
    <w:p w14:paraId="76E839CD" w14:textId="77777777" w:rsidR="004672CE" w:rsidRPr="004672CE" w:rsidRDefault="004672CE" w:rsidP="00563A15">
      <w:pPr>
        <w:spacing w:after="0" w:line="240" w:lineRule="auto"/>
      </w:pPr>
    </w:p>
    <w:p w14:paraId="1E9F676D" w14:textId="66E17C53" w:rsidR="00933829" w:rsidRPr="00267514" w:rsidRDefault="00563A15" w:rsidP="00267514">
      <w:pPr>
        <w:spacing w:after="0" w:line="240" w:lineRule="auto"/>
        <w:rPr>
          <w:rFonts w:ascii="Calibri" w:hAnsi="Calibri"/>
          <w:color w:val="1F497D"/>
          <w:spacing w:val="0"/>
        </w:rPr>
      </w:pPr>
      <w:r w:rsidRPr="004672CE">
        <w:t xml:space="preserve">Brittiska National Institute for Health and Care Excellence (NICE) har tagit fram </w:t>
      </w:r>
      <w:hyperlink r:id="rId40" w:history="1">
        <w:r w:rsidRPr="004672CE">
          <w:rPr>
            <w:rStyle w:val="Hyperlnk"/>
          </w:rPr>
          <w:t>jämförelse av uppskattat koldioxidavtryck för olika inhalatorer</w:t>
        </w:r>
      </w:hyperlink>
      <w:r w:rsidRPr="004672CE">
        <w:t xml:space="preserve"> (se sid 12)</w:t>
      </w:r>
      <w:r>
        <w:t xml:space="preserve">  </w:t>
      </w:r>
      <w:r w:rsidR="00933829">
        <w:br w:type="page"/>
      </w:r>
    </w:p>
    <w:p w14:paraId="663FB4F4" w14:textId="3C2CD2CA" w:rsidR="000D3B3E" w:rsidRDefault="000D3B3E" w:rsidP="00A11174">
      <w:pPr>
        <w:pStyle w:val="Rubrik1"/>
      </w:pPr>
      <w:bookmarkStart w:id="111" w:name="_Toc152920065"/>
      <w:bookmarkStart w:id="112" w:name="_Hlk152917493"/>
      <w:r>
        <w:t xml:space="preserve">Tilläggsfiler för </w:t>
      </w:r>
      <w:r w:rsidR="00A8559B">
        <w:t>ytterligare</w:t>
      </w:r>
      <w:r>
        <w:t xml:space="preserve"> analys</w:t>
      </w:r>
      <w:bookmarkEnd w:id="111"/>
    </w:p>
    <w:bookmarkEnd w:id="112"/>
    <w:p w14:paraId="339FBA67" w14:textId="456A2346" w:rsidR="00DD3740" w:rsidRDefault="00A8559B" w:rsidP="000D3B3E">
      <w:r>
        <w:t xml:space="preserve">Verktyget ger regionerna en bra grund för att räkna på och konsolidera och rapportera sina utsläpp av växthusgaser. Dock kan det finns fall då </w:t>
      </w:r>
      <w:r w:rsidR="00360545">
        <w:t>fler och mer detaljerade analyser är nödvändiga för att kunna följa upp och styra arbetet. Med anledning av detta har två separat</w:t>
      </w:r>
      <w:r w:rsidR="008B0157">
        <w:t>a</w:t>
      </w:r>
      <w:r w:rsidR="00360545">
        <w:t xml:space="preserve"> tilläggsfiler tagits fram</w:t>
      </w:r>
      <w:r w:rsidR="00DD3740">
        <w:t>, i syfte att förtydliga och förenkla metodiken kopplat till spendberäkningar av inköp och byggnationer.</w:t>
      </w:r>
    </w:p>
    <w:p w14:paraId="0A3CAE84" w14:textId="3F8B901E" w:rsidR="000B7FB6" w:rsidRDefault="00B8187A" w:rsidP="008A70A4">
      <w:pPr>
        <w:pStyle w:val="Rubrik2"/>
      </w:pPr>
      <w:bookmarkStart w:id="113" w:name="_Toc152920066"/>
      <w:r>
        <w:t>Utökat spendverktyg</w:t>
      </w:r>
      <w:bookmarkEnd w:id="113"/>
    </w:p>
    <w:p w14:paraId="3B394C6B" w14:textId="77777777" w:rsidR="00A11174" w:rsidRPr="00B8187A" w:rsidRDefault="00A11174" w:rsidP="00A11174">
      <w:pPr>
        <w:pStyle w:val="Rubrik4"/>
      </w:pPr>
      <w:r w:rsidRPr="00B8187A">
        <w:t>Omfattning/avgränsningar</w:t>
      </w:r>
    </w:p>
    <w:p w14:paraId="20356889" w14:textId="0E0274B9" w:rsidR="00A11174" w:rsidRPr="00B8187A" w:rsidRDefault="00B9160B" w:rsidP="00A11174">
      <w:r>
        <w:t xml:space="preserve">Den utökade spendanalysen har tidigare varit en del </w:t>
      </w:r>
      <w:r w:rsidRPr="002318FD">
        <w:t xml:space="preserve">av </w:t>
      </w:r>
      <w:r w:rsidR="00B04D80" w:rsidRPr="002318FD">
        <w:t>verktyg</w:t>
      </w:r>
      <w:r w:rsidR="00B02073" w:rsidRPr="002318FD">
        <w:t>et</w:t>
      </w:r>
      <w:r w:rsidR="00B04D80" w:rsidRPr="002318FD">
        <w:t xml:space="preserve"> för region</w:t>
      </w:r>
      <w:r w:rsidR="00B04D80">
        <w:t xml:space="preserve">ernas </w:t>
      </w:r>
      <w:r w:rsidR="00E57BB5">
        <w:t>klimatberäkningar</w:t>
      </w:r>
      <w:r w:rsidR="00B04D80">
        <w:t>, men har flyttats ut till en separat fil för att undvika förvirring</w:t>
      </w:r>
      <w:r w:rsidR="00A11174" w:rsidRPr="00B8187A">
        <w:t>. Den</w:t>
      </w:r>
      <w:r w:rsidR="00B04D80">
        <w:t>na fil</w:t>
      </w:r>
      <w:r w:rsidR="00A11174" w:rsidRPr="00B8187A">
        <w:t xml:space="preserve"> är tänkt att användas för att få ett mer heltäckande och förfinat resultat</w:t>
      </w:r>
      <w:r w:rsidR="00B04D80">
        <w:t xml:space="preserve"> för de kostnadsbaserade beräkningarna kopplat till inkö</w:t>
      </w:r>
      <w:r w:rsidR="00E57BB5">
        <w:t>p</w:t>
      </w:r>
      <w:r w:rsidR="00A11174" w:rsidRPr="00B8187A">
        <w:t xml:space="preserve">. Beräkningarna utgår från att inköpen är kategoriserade </w:t>
      </w:r>
      <w:r w:rsidR="00A11174" w:rsidRPr="004C6A85">
        <w:t xml:space="preserve">utifrån </w:t>
      </w:r>
      <w:hyperlink r:id="rId41" w:history="1">
        <w:r w:rsidR="00FE4ABB" w:rsidRPr="004C6A85">
          <w:rPr>
            <w:rStyle w:val="Hyperlnk"/>
          </w:rPr>
          <w:t>LfU:s kategoriträd</w:t>
        </w:r>
      </w:hyperlink>
      <w:r w:rsidR="00A11174" w:rsidRPr="004C6A85">
        <w:t>. Inköpen kan</w:t>
      </w:r>
      <w:r w:rsidR="00A11174" w:rsidRPr="00B8187A">
        <w:t xml:space="preserve"> matas in på nivå 1,2 eller 3 enligt kategoriträdet, eller en kombination av dessa nivåer. På vilken nivå data matas in bestäms utifrån tillgänglig information. Observera att ingen data ska rapporteras dubbelt, alltså den data som rapporteras på nivå 1 ska inte inkludera data som redan rapporterats på underliggande nivå 2. Denna summa måste då dras bort. </w:t>
      </w:r>
    </w:p>
    <w:p w14:paraId="3BF80412" w14:textId="12019BAA" w:rsidR="00A11174" w:rsidRPr="00B8187A" w:rsidRDefault="00A11174" w:rsidP="00A11174">
      <w:r w:rsidRPr="00B8187A">
        <w:t xml:space="preserve">Denna utökade beräkning kommer inte in i regionens totala bokslut eller resultat, </w:t>
      </w:r>
      <w:r w:rsidR="00E57BB5">
        <w:t>utan visas i resultatet i den separata filen</w:t>
      </w:r>
      <w:r w:rsidRPr="00B8187A">
        <w:t xml:space="preserve">. Detta för att undvika dubbelrapportering mot andra kategorier i verktyget. Utgångspunkten för redovisning </w:t>
      </w:r>
      <w:r w:rsidR="00A824F5">
        <w:t xml:space="preserve">för regionerna </w:t>
      </w:r>
      <w:r w:rsidRPr="00B8187A">
        <w:t>är de kategorier kopplade till inköps som nämnts</w:t>
      </w:r>
      <w:r w:rsidR="00A824F5">
        <w:t xml:space="preserve"> i </w:t>
      </w:r>
      <w:r w:rsidR="00A824F5" w:rsidRPr="002318FD">
        <w:t xml:space="preserve">avsnittet ”Inköp och </w:t>
      </w:r>
      <w:r w:rsidR="00B02073" w:rsidRPr="002318FD">
        <w:t>resursanvändning</w:t>
      </w:r>
      <w:r w:rsidR="00A824F5" w:rsidRPr="002318FD">
        <w:t>”</w:t>
      </w:r>
      <w:r w:rsidRPr="002318FD">
        <w:t xml:space="preserve"> ovan.</w:t>
      </w:r>
      <w:r w:rsidRPr="00B8187A">
        <w:t xml:space="preserve"> </w:t>
      </w:r>
    </w:p>
    <w:p w14:paraId="34C0F823" w14:textId="77777777" w:rsidR="00A11174" w:rsidRPr="00B8187A" w:rsidRDefault="00A11174" w:rsidP="00A11174">
      <w:pPr>
        <w:pStyle w:val="Rubrik4"/>
        <w:rPr>
          <w:i/>
        </w:rPr>
      </w:pPr>
      <w:commentRangeStart w:id="114"/>
      <w:r w:rsidRPr="00B8187A">
        <w:t>Underlag och beräkningsmetod</w:t>
      </w:r>
      <w:commentRangeEnd w:id="114"/>
      <w:r w:rsidR="007D181F">
        <w:rPr>
          <w:rStyle w:val="Kommentarsreferens"/>
          <w:b w:val="0"/>
          <w:bCs w:val="0"/>
        </w:rPr>
        <w:commentReference w:id="114"/>
      </w:r>
    </w:p>
    <w:p w14:paraId="20D7631F" w14:textId="0AD58EC7" w:rsidR="002318FD" w:rsidRDefault="00A11174" w:rsidP="002318FD">
      <w:r w:rsidRPr="00B8187A">
        <w:t xml:space="preserve">Regionen rapporterar in kostnad för inköp (SEK). </w:t>
      </w:r>
      <w:r w:rsidRPr="00B02073">
        <w:t>Emissionsfaktorerna är hämtade från Region Stockholms miljöspendanalys (2021)</w:t>
      </w:r>
      <w:r w:rsidR="00A824F5" w:rsidRPr="00B02073">
        <w:t xml:space="preserve"> och justeras årligen för att ta hänsyn till både generell inflationstakt samt valutaförändringar.</w:t>
      </w:r>
      <w:r w:rsidR="002318FD">
        <w:t xml:space="preserve">De emissionsfaktorer som används, och är framtagna inom ramen för ovan nämnd miljöspendanalys, justeras årligen för att ta hänsyn till både generell inflationstakt samt valutaförändringar </w:t>
      </w:r>
      <w:r w:rsidR="002318FD" w:rsidRPr="00034E78">
        <w:t>Utsläppsfaktorena i modellen kommer i huvudsak från internationell databas</w:t>
      </w:r>
      <w:r w:rsidR="002318FD">
        <w:t>, Exiobase med underlag från 2011</w:t>
      </w:r>
      <w:r w:rsidR="002318FD" w:rsidRPr="00034E78">
        <w:t xml:space="preserve">. </w:t>
      </w:r>
      <w:r w:rsidR="002318FD">
        <w:t>Justeringen för inflation och valutaförändring genomförs enligt formel nedan</w:t>
      </w:r>
    </w:p>
    <w:p w14:paraId="02025B35" w14:textId="77777777" w:rsidR="002318FD" w:rsidRPr="009F6E60" w:rsidRDefault="002318FD" w:rsidP="002318FD">
      <w:pPr>
        <w:rPr>
          <w:rFonts w:eastAsiaTheme="minorEastAsia"/>
        </w:rPr>
      </w:pPr>
      <m:oMathPara>
        <m:oMath>
          <m:r>
            <w:rPr>
              <w:rFonts w:ascii="Cambria Math" w:hAnsi="Cambria Math"/>
            </w:rPr>
            <m:t>Utsläppsfaktor per SE</m:t>
          </m:r>
          <m:sSub>
            <m:sSubPr>
              <m:ctrlPr>
                <w:rPr>
                  <w:rFonts w:ascii="Cambria Math" w:hAnsi="Cambria Math"/>
                  <w:i/>
                </w:rPr>
              </m:ctrlPr>
            </m:sSubPr>
            <m:e>
              <m:r>
                <w:rPr>
                  <w:rFonts w:ascii="Cambria Math" w:hAnsi="Cambria Math"/>
                </w:rPr>
                <m:t>K</m:t>
              </m:r>
            </m:e>
            <m:sub>
              <m:r>
                <w:rPr>
                  <w:rFonts w:ascii="Cambria Math" w:hAnsi="Cambria Math"/>
                </w:rPr>
                <m:t>År</m:t>
              </m:r>
            </m:sub>
          </m:sSub>
          <m:r>
            <w:rPr>
              <w:rFonts w:ascii="Cambria Math" w:hAnsi="Cambria Math"/>
            </w:rPr>
            <m:t>=</m:t>
          </m:r>
          <m:f>
            <m:fPr>
              <m:ctrlPr>
                <w:rPr>
                  <w:rFonts w:ascii="Cambria Math" w:hAnsi="Cambria Math"/>
                  <w:i/>
                </w:rPr>
              </m:ctrlPr>
            </m:fPr>
            <m:num>
              <m:r>
                <w:rPr>
                  <w:rFonts w:ascii="Cambria Math" w:hAnsi="Cambria Math"/>
                </w:rPr>
                <m:t xml:space="preserve">Utsläppsfaktor per </m:t>
              </m:r>
              <m:sSub>
                <m:sSubPr>
                  <m:ctrlPr>
                    <w:rPr>
                      <w:rFonts w:ascii="Cambria Math" w:hAnsi="Cambria Math"/>
                      <w:i/>
                    </w:rPr>
                  </m:ctrlPr>
                </m:sSubPr>
                <m:e>
                  <m:r>
                    <w:rPr>
                      <w:rFonts w:ascii="Cambria Math" w:hAnsi="Cambria Math"/>
                    </w:rPr>
                    <m:t>EURO</m:t>
                  </m:r>
                </m:e>
                <m:sub>
                  <m:r>
                    <w:rPr>
                      <w:rFonts w:ascii="Cambria Math" w:hAnsi="Cambria Math"/>
                    </w:rPr>
                    <m:t>2011</m:t>
                  </m:r>
                </m:sub>
              </m:sSub>
            </m:num>
            <m:den>
              <m:r>
                <w:rPr>
                  <w:rFonts w:ascii="Cambria Math" w:hAnsi="Cambria Math"/>
                </w:rPr>
                <m:t>Konverteringsfaktor</m:t>
              </m:r>
            </m:den>
          </m:f>
        </m:oMath>
      </m:oMathPara>
    </w:p>
    <w:p w14:paraId="2F71A38C" w14:textId="77777777" w:rsidR="002318FD" w:rsidRDefault="002318FD" w:rsidP="002318FD">
      <w:pPr>
        <w:rPr>
          <w:rFonts w:eastAsiaTheme="minorEastAsia"/>
        </w:rPr>
      </w:pPr>
      <w:r>
        <w:rPr>
          <w:rFonts w:eastAsiaTheme="minorEastAsia"/>
        </w:rPr>
        <w:t xml:space="preserve">Där </w:t>
      </w:r>
      <m:oMath>
        <m:r>
          <w:rPr>
            <w:rFonts w:ascii="Cambria Math" w:hAnsi="Cambria Math"/>
          </w:rPr>
          <m:t>Utsläppsfaktor per SE</m:t>
        </m:r>
        <m:sSub>
          <m:sSubPr>
            <m:ctrlPr>
              <w:rPr>
                <w:rFonts w:ascii="Cambria Math" w:hAnsi="Cambria Math"/>
                <w:i/>
              </w:rPr>
            </m:ctrlPr>
          </m:sSubPr>
          <m:e>
            <m:r>
              <w:rPr>
                <w:rFonts w:ascii="Cambria Math" w:hAnsi="Cambria Math"/>
              </w:rPr>
              <m:t>K</m:t>
            </m:r>
          </m:e>
          <m:sub>
            <m:r>
              <w:rPr>
                <w:rFonts w:ascii="Cambria Math" w:hAnsi="Cambria Math"/>
              </w:rPr>
              <m:t>År</m:t>
            </m:r>
          </m:sub>
        </m:sSub>
      </m:oMath>
      <w:r>
        <w:rPr>
          <w:rFonts w:eastAsiaTheme="minorEastAsia"/>
        </w:rPr>
        <w:t xml:space="preserve"> är utsläppsfaktorn per SEK under det år för vilken faktorn tas fram, </w:t>
      </w:r>
      <m:oMath>
        <m:r>
          <w:rPr>
            <w:rFonts w:ascii="Cambria Math" w:hAnsi="Cambria Math"/>
          </w:rPr>
          <m:t xml:space="preserve">Utsläppsfaktor per </m:t>
        </m:r>
        <m:sSub>
          <m:sSubPr>
            <m:ctrlPr>
              <w:rPr>
                <w:rFonts w:ascii="Cambria Math" w:hAnsi="Cambria Math"/>
                <w:i/>
              </w:rPr>
            </m:ctrlPr>
          </m:sSubPr>
          <m:e>
            <m:r>
              <w:rPr>
                <w:rFonts w:ascii="Cambria Math" w:hAnsi="Cambria Math"/>
              </w:rPr>
              <m:t>EURO</m:t>
            </m:r>
          </m:e>
          <m:sub>
            <m:r>
              <w:rPr>
                <w:rFonts w:ascii="Cambria Math" w:hAnsi="Cambria Math"/>
              </w:rPr>
              <m:t>2011</m:t>
            </m:r>
          </m:sub>
        </m:sSub>
      </m:oMath>
      <w:r>
        <w:rPr>
          <w:rFonts w:eastAsiaTheme="minorEastAsia"/>
        </w:rPr>
        <w:t xml:space="preserve"> är den utsläppsfaktorn som är framtagen från Exiobase inom ramen för ovan nämnd miljöspendanalys. Koverteringsfaktorn räknas ut via formeln nedan</w:t>
      </w:r>
    </w:p>
    <w:p w14:paraId="359BFA8B" w14:textId="77777777" w:rsidR="002318FD" w:rsidRPr="00D17724" w:rsidRDefault="002318FD" w:rsidP="002318FD">
      <w:pPr>
        <w:rPr>
          <w:rFonts w:eastAsiaTheme="minorEastAsia"/>
        </w:rPr>
      </w:pPr>
      <m:oMathPara>
        <m:oMath>
          <m:r>
            <w:rPr>
              <w:rFonts w:ascii="Cambria Math" w:eastAsiaTheme="minorEastAsia" w:hAnsi="Cambria Math"/>
            </w:rPr>
            <m:t>Konverteringsfaktor=Inflationstak</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2011 till År</m:t>
              </m:r>
            </m:sub>
          </m:sSub>
          <m:r>
            <w:rPr>
              <w:rFonts w:ascii="Cambria Math" w:eastAsiaTheme="minorEastAsia" w:hAnsi="Cambria Math"/>
            </w:rPr>
            <m:t xml:space="preserve">*Valutakurs SEK till </m:t>
          </m:r>
          <m:sSub>
            <m:sSubPr>
              <m:ctrlPr>
                <w:rPr>
                  <w:rFonts w:ascii="Cambria Math" w:eastAsiaTheme="minorEastAsia" w:hAnsi="Cambria Math"/>
                  <w:i/>
                </w:rPr>
              </m:ctrlPr>
            </m:sSubPr>
            <m:e>
              <m:r>
                <w:rPr>
                  <w:rFonts w:ascii="Cambria Math" w:eastAsiaTheme="minorEastAsia" w:hAnsi="Cambria Math"/>
                </w:rPr>
                <m:t>EURO</m:t>
              </m:r>
            </m:e>
            <m:sub>
              <m:r>
                <w:rPr>
                  <w:rFonts w:ascii="Cambria Math" w:eastAsiaTheme="minorEastAsia" w:hAnsi="Cambria Math"/>
                </w:rPr>
                <m:t>År</m:t>
              </m:r>
            </m:sub>
          </m:sSub>
        </m:oMath>
      </m:oMathPara>
    </w:p>
    <w:p w14:paraId="3BE77852" w14:textId="77777777" w:rsidR="002318FD" w:rsidRDefault="002318FD" w:rsidP="002318FD">
      <w:pPr>
        <w:rPr>
          <w:rFonts w:ascii="Cambria Math" w:eastAsiaTheme="minorEastAsia" w:hAnsi="Cambria Math"/>
        </w:rPr>
      </w:pPr>
      <w:r>
        <w:rPr>
          <w:rFonts w:eastAsiaTheme="minorEastAsia"/>
        </w:rPr>
        <w:t>Där</w:t>
      </w:r>
      <w:r w:rsidRPr="00D17724">
        <w:rPr>
          <w:rFonts w:ascii="Cambria Math" w:eastAsiaTheme="minorEastAsia" w:hAnsi="Cambria Math"/>
          <w:i/>
        </w:rPr>
        <w:t xml:space="preserve"> </w:t>
      </w:r>
      <m:oMath>
        <m:r>
          <w:rPr>
            <w:rFonts w:ascii="Cambria Math" w:eastAsiaTheme="minorEastAsia" w:hAnsi="Cambria Math"/>
          </w:rPr>
          <m:t>Inflationstak</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2011 till År</m:t>
            </m:r>
          </m:sub>
        </m:sSub>
      </m:oMath>
      <w:r>
        <w:rPr>
          <w:rFonts w:ascii="Cambria Math" w:eastAsiaTheme="minorEastAsia" w:hAnsi="Cambria Math"/>
          <w:i/>
        </w:rPr>
        <w:t xml:space="preserve"> </w:t>
      </w:r>
      <w:r>
        <w:rPr>
          <w:rFonts w:ascii="Cambria Math" w:eastAsiaTheme="minorEastAsia" w:hAnsi="Cambria Math"/>
          <w:iCs/>
        </w:rPr>
        <w:t xml:space="preserve">är inflationstakten för EU (27 länder) under 2011 till och med året för vilken faktorn tas fram, angiven i procent och hämtad från statistik från Eurostat. </w:t>
      </w:r>
      <m:oMath>
        <m:r>
          <w:rPr>
            <w:rFonts w:ascii="Cambria Math" w:eastAsiaTheme="minorEastAsia" w:hAnsi="Cambria Math"/>
          </w:rPr>
          <m:t xml:space="preserve">Valutakurs SEK till </m:t>
        </m:r>
        <m:sSub>
          <m:sSubPr>
            <m:ctrlPr>
              <w:rPr>
                <w:rFonts w:ascii="Cambria Math" w:eastAsiaTheme="minorEastAsia" w:hAnsi="Cambria Math"/>
                <w:i/>
              </w:rPr>
            </m:ctrlPr>
          </m:sSubPr>
          <m:e>
            <m:r>
              <w:rPr>
                <w:rFonts w:ascii="Cambria Math" w:eastAsiaTheme="minorEastAsia" w:hAnsi="Cambria Math"/>
              </w:rPr>
              <m:t>EURO</m:t>
            </m:r>
          </m:e>
          <m:sub>
            <m:r>
              <w:rPr>
                <w:rFonts w:ascii="Cambria Math" w:eastAsiaTheme="minorEastAsia" w:hAnsi="Cambria Math"/>
              </w:rPr>
              <m:t>År</m:t>
            </m:r>
          </m:sub>
        </m:sSub>
      </m:oMath>
      <w:r>
        <w:rPr>
          <w:rFonts w:ascii="Cambria Math" w:eastAsiaTheme="minorEastAsia" w:hAnsi="Cambria Math"/>
        </w:rPr>
        <w:t xml:space="preserve"> är den valutakurs som finns för året för vilken faktorn tas fram (medelvärde över år), hämtad från Riksbanken.</w:t>
      </w:r>
    </w:p>
    <w:p w14:paraId="09C2F611" w14:textId="55207019" w:rsidR="00A11174" w:rsidRPr="007D181F" w:rsidRDefault="002318FD" w:rsidP="00A11174">
      <w:pPr>
        <w:rPr>
          <w:rFonts w:eastAsiaTheme="minorEastAsia"/>
          <w:iCs/>
        </w:rPr>
      </w:pPr>
      <w:r>
        <w:rPr>
          <w:rFonts w:ascii="Cambria Math" w:eastAsiaTheme="minorEastAsia" w:hAnsi="Cambria Math"/>
        </w:rPr>
        <w:t>I verktyget behöver konverteringsfaktorn uppdateras årligen, men detta görs centralt och är inget som respektive region behöver tänka på.</w:t>
      </w:r>
      <w:r w:rsidR="007D181F">
        <w:rPr>
          <w:rFonts w:eastAsiaTheme="minorEastAsia"/>
          <w:iCs/>
        </w:rPr>
        <w:t xml:space="preserve"> </w:t>
      </w:r>
      <w:r w:rsidR="00A11174" w:rsidRPr="00B8187A">
        <w:t>Posten redovisas i scope 3.</w:t>
      </w:r>
      <w:r w:rsidR="00A11174">
        <w:t xml:space="preserve"> </w:t>
      </w:r>
    </w:p>
    <w:p w14:paraId="2FBCCC6F" w14:textId="3CB9F4CF" w:rsidR="0090051D" w:rsidRDefault="0090051D" w:rsidP="008A70A4">
      <w:pPr>
        <w:pStyle w:val="Rubrik2"/>
      </w:pPr>
      <w:bookmarkStart w:id="115" w:name="_Toc152920067"/>
      <w:r>
        <w:t>Verktyg för ombyggnation</w:t>
      </w:r>
      <w:bookmarkEnd w:id="115"/>
    </w:p>
    <w:p w14:paraId="7F934FEE" w14:textId="4C91F739" w:rsidR="0090051D" w:rsidRPr="0090051D" w:rsidRDefault="0090051D" w:rsidP="0090051D">
      <w:r>
        <w:t xml:space="preserve">En enkel modell för </w:t>
      </w:r>
      <w:r w:rsidR="005D205F">
        <w:t>ny- och ombyggnation har skapats, som ett</w:t>
      </w:r>
      <w:r>
        <w:t xml:space="preserve"> tillägg </w:t>
      </w:r>
      <w:r w:rsidRPr="007A1E5F">
        <w:t xml:space="preserve">till </w:t>
      </w:r>
      <w:r w:rsidR="000A00BC" w:rsidRPr="007A1E5F">
        <w:t>beräknings</w:t>
      </w:r>
      <w:r w:rsidR="000A00BC" w:rsidRPr="007A1E5F">
        <w:softHyphen/>
      </w:r>
      <w:r w:rsidRPr="007A1E5F">
        <w:t>verktyget</w:t>
      </w:r>
      <w:r w:rsidR="005D205F">
        <w:t xml:space="preserve">. I denna modell kan utsläpp </w:t>
      </w:r>
      <w:r w:rsidR="004F264F">
        <w:t>uppskattas</w:t>
      </w:r>
      <w:r w:rsidR="00764959">
        <w:t xml:space="preserve"> utifrån yta, kostnad eller separat klimatberäkning. </w:t>
      </w:r>
      <w:r w:rsidR="00A7615E">
        <w:t>I första hand rekommenderas dock att region</w:t>
      </w:r>
      <w:r w:rsidR="00A7615E" w:rsidRPr="004F264F">
        <w:t xml:space="preserve">en följer </w:t>
      </w:r>
      <w:r w:rsidR="004F264F" w:rsidRPr="004F264F">
        <w:t>”</w:t>
      </w:r>
      <w:r w:rsidR="00A7615E" w:rsidRPr="004F264F">
        <w:rPr>
          <w:i/>
          <w:iCs/>
          <w:sz w:val="22"/>
          <w:szCs w:val="22"/>
        </w:rPr>
        <w:t>Beräkningsanvisningar för Regionernas Klimatberäkningsmodell, Vägledning för beräkning och redovisning av klimatpåverkan från nybyggnation, Gemensamma krav för sjukhus, kontor och specialbyggnader”</w:t>
      </w:r>
      <w:r w:rsidR="004F264F" w:rsidRPr="004F264F">
        <w:rPr>
          <w:i/>
          <w:iCs/>
          <w:sz w:val="22"/>
          <w:szCs w:val="22"/>
        </w:rPr>
        <w:t xml:space="preserve"> från </w:t>
      </w:r>
      <w:r w:rsidR="004F264F" w:rsidRPr="004F264F">
        <w:rPr>
          <w:sz w:val="22"/>
          <w:szCs w:val="22"/>
        </w:rPr>
        <w:t xml:space="preserve">PTS (Program för Tekniska </w:t>
      </w:r>
      <w:r w:rsidR="00FD167A" w:rsidRPr="004F264F">
        <w:rPr>
          <w:sz w:val="22"/>
          <w:szCs w:val="22"/>
        </w:rPr>
        <w:t>Standard) -</w:t>
      </w:r>
      <w:r w:rsidR="004F264F" w:rsidRPr="004F264F">
        <w:rPr>
          <w:sz w:val="22"/>
          <w:szCs w:val="22"/>
        </w:rPr>
        <w:t>nätverket</w:t>
      </w:r>
      <w:r w:rsidR="00FD167A">
        <w:rPr>
          <w:sz w:val="22"/>
          <w:szCs w:val="22"/>
        </w:rPr>
        <w:t>, när denna lanseras.</w:t>
      </w:r>
    </w:p>
    <w:p w14:paraId="5F7BC293" w14:textId="40BD0738" w:rsidR="00FD167A" w:rsidRDefault="00FD167A">
      <w:pPr>
        <w:spacing w:line="259" w:lineRule="auto"/>
      </w:pPr>
      <w:r>
        <w:br w:type="page"/>
      </w:r>
    </w:p>
    <w:p w14:paraId="54FFB926" w14:textId="77777777" w:rsidR="00E14ED5" w:rsidRDefault="00E14ED5" w:rsidP="00116F6B">
      <w:pPr>
        <w:pStyle w:val="Rubrik1"/>
      </w:pPr>
      <w:bookmarkStart w:id="116" w:name="_Toc152920068"/>
      <w:r w:rsidRPr="008573C5">
        <w:t>Förklaringar</w:t>
      </w:r>
      <w:bookmarkEnd w:id="116"/>
    </w:p>
    <w:p w14:paraId="716EB8D0" w14:textId="77777777" w:rsidR="00F00BFC" w:rsidRDefault="00F00BFC" w:rsidP="005D2023"/>
    <w:p w14:paraId="3FB4E92A" w14:textId="77777777" w:rsidR="009B1106" w:rsidRDefault="009B1106" w:rsidP="009F2AFA">
      <w:pPr>
        <w:ind w:left="2608" w:hanging="2608"/>
      </w:pPr>
      <w:r>
        <w:t>Aktivitetsdata</w:t>
      </w:r>
      <w:r w:rsidR="00702A9B">
        <w:tab/>
      </w:r>
      <w:r w:rsidR="00E730DE">
        <w:t xml:space="preserve">Information </w:t>
      </w:r>
      <w:r w:rsidR="00EC4449">
        <w:t xml:space="preserve">om </w:t>
      </w:r>
      <w:r w:rsidR="00C15C57">
        <w:t xml:space="preserve">aktiviteter som ger upphov till klimatpåverkan, exempelvis förbrukning av bränsle eller </w:t>
      </w:r>
      <w:r w:rsidR="00A36169">
        <w:t>inköp.</w:t>
      </w:r>
    </w:p>
    <w:p w14:paraId="1A61D5CA" w14:textId="77777777" w:rsidR="009F2AFA" w:rsidRDefault="009F2AFA" w:rsidP="009F2AFA">
      <w:pPr>
        <w:ind w:left="2608" w:hanging="2608"/>
      </w:pPr>
      <w:r>
        <w:t>Allmän kollektivtrafik</w:t>
      </w:r>
      <w:r>
        <w:tab/>
      </w:r>
      <w:r w:rsidR="00A86944">
        <w:t>Kollektivtr</w:t>
      </w:r>
      <w:r w:rsidR="00746ABA">
        <w:t xml:space="preserve">afik som är tillgänglig för allmänheten. </w:t>
      </w:r>
      <w:r>
        <w:t>Skolskjutsar ingår i utbudet av allmän kollektivtrafik om de är linjelagda och öppna för allmänheten att stiga på och resa med mot betalning enligt ordinarie biljettpriser.</w:t>
      </w:r>
    </w:p>
    <w:p w14:paraId="36535E94" w14:textId="77777777" w:rsidR="00A22174" w:rsidRDefault="00A22174" w:rsidP="009F2AFA">
      <w:pPr>
        <w:ind w:left="2608" w:hanging="2608"/>
      </w:pPr>
      <w:r>
        <w:t>Betald patientresa</w:t>
      </w:r>
      <w:r>
        <w:tab/>
      </w:r>
      <w:r w:rsidR="001708ED">
        <w:t xml:space="preserve">En sjukresa för vilken patienten fått ersättning. </w:t>
      </w:r>
      <w:r w:rsidR="006C7ACC">
        <w:t xml:space="preserve">Resan kan göras med privat bil, </w:t>
      </w:r>
      <w:r w:rsidR="0078442D">
        <w:t>taxi, buss eller tåg.</w:t>
      </w:r>
      <w:r w:rsidR="00D409B4">
        <w:t xml:space="preserve"> Varje region väljer vilka resor som ska ersättas. </w:t>
      </w:r>
    </w:p>
    <w:p w14:paraId="37603672" w14:textId="77777777" w:rsidR="00831139" w:rsidRDefault="00831139" w:rsidP="009F2AFA">
      <w:pPr>
        <w:ind w:left="2608" w:hanging="2608"/>
      </w:pPr>
      <w:r>
        <w:t>BTA</w:t>
      </w:r>
      <w:r>
        <w:tab/>
      </w:r>
      <w:r w:rsidR="000C76C2" w:rsidRPr="001B1AFB">
        <w:t>Brutto</w:t>
      </w:r>
      <w:r w:rsidR="00B74C0C">
        <w:t>total</w:t>
      </w:r>
      <w:r w:rsidR="000C76C2" w:rsidRPr="001B1AFB">
        <w:t>area</w:t>
      </w:r>
    </w:p>
    <w:p w14:paraId="011595B9" w14:textId="77777777" w:rsidR="004C651F" w:rsidRDefault="004C651F" w:rsidP="009F2AFA">
      <w:pPr>
        <w:ind w:left="2608" w:hanging="2608"/>
      </w:pPr>
      <w:r>
        <w:t>Ej betald patientresa</w:t>
      </w:r>
      <w:r>
        <w:tab/>
        <w:t xml:space="preserve">En sjukresa för vilken patienten inte ersätts. </w:t>
      </w:r>
    </w:p>
    <w:p w14:paraId="341D99AC" w14:textId="77777777" w:rsidR="00584E84" w:rsidRDefault="00584E84" w:rsidP="009F2AFA">
      <w:pPr>
        <w:ind w:left="2608" w:hanging="2608"/>
      </w:pPr>
      <w:r>
        <w:t>Invånare</w:t>
      </w:r>
      <w:r>
        <w:tab/>
      </w:r>
      <w:r w:rsidR="00327EF0" w:rsidRPr="00327EF0">
        <w:t>Antal invånare den 31/12</w:t>
      </w:r>
      <w:r w:rsidR="00327EF0">
        <w:t xml:space="preserve"> för avsett verksamhetsår.</w:t>
      </w:r>
    </w:p>
    <w:p w14:paraId="6E9D2F8D" w14:textId="77777777" w:rsidR="00FA43BE" w:rsidRPr="00E20CC4" w:rsidRDefault="00FA43BE" w:rsidP="009F2AFA">
      <w:pPr>
        <w:ind w:left="2608" w:hanging="2608"/>
      </w:pPr>
      <w:r w:rsidRPr="00E20CC4">
        <w:t>Liten lastbil</w:t>
      </w:r>
      <w:r w:rsidR="00D113CE" w:rsidRPr="00E20CC4">
        <w:tab/>
      </w:r>
      <w:r w:rsidR="00B57781" w:rsidRPr="00E20CC4">
        <w:t>Lastbil med tot</w:t>
      </w:r>
      <w:r w:rsidR="00B57781">
        <w:t>alvikt</w:t>
      </w:r>
      <w:r w:rsidR="00BD6EE7">
        <w:t xml:space="preserve"> under 7,5 ton och en typisk godskapacitet på 5 ton.</w:t>
      </w:r>
    </w:p>
    <w:p w14:paraId="1F363849" w14:textId="77777777" w:rsidR="00D60E9A" w:rsidRDefault="00D60E9A" w:rsidP="00E6045B">
      <w:pPr>
        <w:ind w:left="2608" w:hanging="2608"/>
      </w:pPr>
      <w:r w:rsidRPr="006648E0">
        <w:rPr>
          <w:lang w:val="en-GB"/>
        </w:rPr>
        <w:t>LTO-cykel</w:t>
      </w:r>
      <w:r w:rsidRPr="006648E0">
        <w:rPr>
          <w:lang w:val="en-GB"/>
        </w:rPr>
        <w:tab/>
      </w:r>
      <w:r w:rsidR="00F31639" w:rsidRPr="006648E0">
        <w:rPr>
          <w:lang w:val="en-GB"/>
        </w:rPr>
        <w:t xml:space="preserve">Landing and Take Off. </w:t>
      </w:r>
      <w:r w:rsidR="00F31639">
        <w:t>Består av alla flygrörelser under 3000 fot över marken, 915 m</w:t>
      </w:r>
      <w:r w:rsidR="00F97186">
        <w:t xml:space="preserve">. Det vill säga landning, taxning, tomgångskörning, start och en del av stigningen. </w:t>
      </w:r>
    </w:p>
    <w:p w14:paraId="7E1A14B8" w14:textId="77777777" w:rsidR="00BD6EE7" w:rsidRDefault="00BD6EE7" w:rsidP="00E6045B">
      <w:pPr>
        <w:ind w:left="2608" w:hanging="2608"/>
      </w:pPr>
      <w:r>
        <w:t>Medium lastbil</w:t>
      </w:r>
      <w:r>
        <w:tab/>
        <w:t xml:space="preserve">Lastbil med totalvikt </w:t>
      </w:r>
      <w:r w:rsidR="00077B7E">
        <w:t xml:space="preserve">på 14 till 20 ton och en typisk godskapacitet på </w:t>
      </w:r>
      <w:r w:rsidR="000E08BF">
        <w:t xml:space="preserve">9 till 12 ton. </w:t>
      </w:r>
    </w:p>
    <w:p w14:paraId="4999CCA1" w14:textId="77777777" w:rsidR="00F3372D" w:rsidRDefault="00F3372D" w:rsidP="007B7CA0">
      <w:pPr>
        <w:ind w:left="2608" w:hanging="2608"/>
      </w:pPr>
      <w:r>
        <w:t xml:space="preserve">Mindre ombyggnation </w:t>
      </w:r>
      <w:r>
        <w:tab/>
      </w:r>
      <w:r w:rsidR="00FD2CC3">
        <w:t xml:space="preserve">Mindre renovering som i huvudsak innebär </w:t>
      </w:r>
      <w:r>
        <w:t xml:space="preserve">reparation </w:t>
      </w:r>
      <w:r w:rsidR="00FD2CC3">
        <w:t xml:space="preserve">av befintliga lokaler. </w:t>
      </w:r>
    </w:p>
    <w:p w14:paraId="2C4C2B02" w14:textId="77777777" w:rsidR="00911633" w:rsidRDefault="00911633" w:rsidP="00E6045B">
      <w:pPr>
        <w:ind w:left="2608" w:hanging="2608"/>
      </w:pPr>
      <w:r>
        <w:t>Serviceresor</w:t>
      </w:r>
      <w:r>
        <w:tab/>
      </w:r>
      <w:r w:rsidR="00537CFD">
        <w:t>Färdtjänst</w:t>
      </w:r>
      <w:r w:rsidR="008C0A1E">
        <w:t>, riksfärdtjänst, sjukresor och skolresor. Se även ”</w:t>
      </w:r>
      <w:r w:rsidR="00237FB6">
        <w:t>S</w:t>
      </w:r>
      <w:r w:rsidR="008C0A1E">
        <w:t>ärskild kollektivtrafik”.</w:t>
      </w:r>
    </w:p>
    <w:p w14:paraId="011AC27F" w14:textId="77777777" w:rsidR="00081726" w:rsidRDefault="00081726" w:rsidP="00E6045B">
      <w:pPr>
        <w:ind w:left="2608" w:hanging="2608"/>
      </w:pPr>
      <w:r>
        <w:t>Spendanalys</w:t>
      </w:r>
      <w:r>
        <w:tab/>
        <w:t xml:space="preserve">En analys </w:t>
      </w:r>
      <w:r w:rsidR="00BD7C8B">
        <w:t>utifrån kostnader för exempelvis inköp</w:t>
      </w:r>
      <w:r w:rsidR="001B4CF0">
        <w:t xml:space="preserve"> (SEK)</w:t>
      </w:r>
      <w:r w:rsidR="00BD7C8B">
        <w:t xml:space="preserve">. </w:t>
      </w:r>
    </w:p>
    <w:p w14:paraId="7AA442A6" w14:textId="77777777" w:rsidR="0045149C" w:rsidRDefault="0045149C" w:rsidP="00E6045B">
      <w:pPr>
        <w:ind w:left="2608" w:hanging="2608"/>
      </w:pPr>
      <w:r>
        <w:t>Stomrent</w:t>
      </w:r>
      <w:r>
        <w:tab/>
      </w:r>
      <w:r w:rsidR="00831139">
        <w:t>Stor ombyggnad där i princip allt utom den bärande stommen rivs.</w:t>
      </w:r>
    </w:p>
    <w:p w14:paraId="0A9DC336" w14:textId="77777777" w:rsidR="00F3372D" w:rsidRDefault="00F3372D" w:rsidP="00FD2CC3">
      <w:pPr>
        <w:ind w:left="2608" w:hanging="2608"/>
      </w:pPr>
      <w:r>
        <w:t>Större ombyggnation</w:t>
      </w:r>
      <w:r>
        <w:tab/>
      </w:r>
      <w:r w:rsidR="007B7CA0">
        <w:t xml:space="preserve">Större renovering </w:t>
      </w:r>
      <w:r w:rsidR="00FD2CC3">
        <w:t>som innebär att allt, förutom den bärande stommen, rivs.</w:t>
      </w:r>
    </w:p>
    <w:p w14:paraId="615692A8" w14:textId="77777777" w:rsidR="00F3372D" w:rsidRDefault="00E6045B" w:rsidP="00F3372D">
      <w:pPr>
        <w:ind w:left="2608" w:hanging="2608"/>
      </w:pPr>
      <w:r>
        <w:t>Särskild kollektivtrafik</w:t>
      </w:r>
      <w:r>
        <w:tab/>
        <w:t>Färdtjänst, riksfärdtjänst, sjukresor och skolresor</w:t>
      </w:r>
      <w:r w:rsidR="008C0A1E">
        <w:t>. Se även ”Serviceresor”</w:t>
      </w:r>
    </w:p>
    <w:p w14:paraId="51451F08" w14:textId="77777777" w:rsidR="003E663F" w:rsidRDefault="003E663F" w:rsidP="008C0A1E">
      <w:pPr>
        <w:ind w:left="2608" w:hanging="2608"/>
      </w:pPr>
      <w:r>
        <w:t>Årsarbetare</w:t>
      </w:r>
      <w:r>
        <w:tab/>
        <w:t>Se www.Kolada.se</w:t>
      </w:r>
    </w:p>
    <w:p w14:paraId="63C4543D" w14:textId="77777777" w:rsidR="0036649E" w:rsidRDefault="0036649E" w:rsidP="008C0A1E">
      <w:pPr>
        <w:ind w:left="2608" w:hanging="2608"/>
      </w:pPr>
      <w:r>
        <w:t>Vårdtillfälle</w:t>
      </w:r>
      <w:r>
        <w:tab/>
      </w:r>
      <w:r w:rsidRPr="0036649E">
        <w:t xml:space="preserve">Sammanhängande tid för vård avgränsad av patientens intagning och utskrivning i sluten vård på samma klinik. </w:t>
      </w:r>
      <w:r w:rsidR="000F6E31">
        <w:t>A</w:t>
      </w:r>
      <w:r w:rsidRPr="0036649E">
        <w:t>vser det totala vårdutnyttjandet för regionens befolkning, dvs oavsett var vården har skett.</w:t>
      </w:r>
      <w:r w:rsidR="0039284B">
        <w:t xml:space="preserve"> </w:t>
      </w:r>
      <w:r w:rsidR="00AE2428">
        <w:t xml:space="preserve">Se Kolada. </w:t>
      </w:r>
    </w:p>
    <w:sectPr w:rsidR="0036649E" w:rsidSect="000B7FB6">
      <w:footerReference w:type="default" r:id="rId42"/>
      <w:footerReference w:type="first" r:id="rId43"/>
      <w:pgSz w:w="11906" w:h="16838"/>
      <w:pgMar w:top="1417" w:right="1417" w:bottom="1417" w:left="1417"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Carl Gustafsson" w:date="2023-12-14T11:37:00Z" w:initials="CG">
    <w:p w14:paraId="1E085911" w14:textId="77777777" w:rsidR="00E603E8" w:rsidRDefault="00E603E8" w:rsidP="008215F7">
      <w:pPr>
        <w:pStyle w:val="Kommentarer"/>
      </w:pPr>
      <w:r>
        <w:rPr>
          <w:rStyle w:val="Kommentarsreferens"/>
        </w:rPr>
        <w:annotationRef/>
      </w:r>
      <w:r>
        <w:t>Tillägg.</w:t>
      </w:r>
    </w:p>
  </w:comment>
  <w:comment w:id="68" w:author="Carl Gustafsson" w:date="2023-12-08T08:40:00Z" w:initials="CG">
    <w:p w14:paraId="27F43CEA" w14:textId="43D63BA5" w:rsidR="007D181F" w:rsidRDefault="007D181F" w:rsidP="00613FA3">
      <w:pPr>
        <w:pStyle w:val="Kommentarer"/>
      </w:pPr>
      <w:r>
        <w:rPr>
          <w:rStyle w:val="Kommentarsreferens"/>
        </w:rPr>
        <w:annotationRef/>
      </w:r>
      <w:r>
        <w:t>Se beskrivning kring inflation och valutakurs</w:t>
      </w:r>
    </w:p>
  </w:comment>
  <w:comment w:id="114" w:author="Carl Gustafsson" w:date="2023-12-08T08:40:00Z" w:initials="CG">
    <w:p w14:paraId="3DD3139A" w14:textId="2D05D3FB" w:rsidR="007D181F" w:rsidRDefault="007D181F" w:rsidP="007E338C">
      <w:pPr>
        <w:pStyle w:val="Kommentarer"/>
      </w:pPr>
      <w:r>
        <w:rPr>
          <w:rStyle w:val="Kommentarsreferens"/>
        </w:rPr>
        <w:annotationRef/>
      </w:r>
      <w:r>
        <w:t>Se tillägg kring beräkning av inflation och valutakurs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85911" w15:done="0"/>
  <w15:commentEx w15:paraId="27F43CEA" w15:done="0"/>
  <w15:commentEx w15:paraId="3DD313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579BF2" w16cex:dateUtc="2023-12-14T10:37:00Z"/>
  <w16cex:commentExtensible w16cex:durableId="111BA3E5" w16cex:dateUtc="2023-12-08T07:40:00Z"/>
  <w16cex:commentExtensible w16cex:durableId="1D20233D" w16cex:dateUtc="2023-12-08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85911" w16cid:durableId="10579BF2"/>
  <w16cid:commentId w16cid:paraId="27F43CEA" w16cid:durableId="111BA3E5"/>
  <w16cid:commentId w16cid:paraId="3DD3139A" w16cid:durableId="1D202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AEDC" w14:textId="77777777" w:rsidR="005E0DCB" w:rsidRDefault="005E0DCB" w:rsidP="00D42D3E">
      <w:pPr>
        <w:spacing w:after="0" w:line="240" w:lineRule="auto"/>
      </w:pPr>
      <w:r>
        <w:separator/>
      </w:r>
    </w:p>
  </w:endnote>
  <w:endnote w:type="continuationSeparator" w:id="0">
    <w:p w14:paraId="5FFC5658" w14:textId="77777777" w:rsidR="005E0DCB" w:rsidRDefault="005E0DCB" w:rsidP="00D42D3E">
      <w:pPr>
        <w:spacing w:after="0" w:line="240" w:lineRule="auto"/>
      </w:pPr>
      <w:r>
        <w:continuationSeparator/>
      </w:r>
    </w:p>
  </w:endnote>
  <w:endnote w:type="continuationNotice" w:id="1">
    <w:p w14:paraId="242A1B26" w14:textId="77777777" w:rsidR="005E0DCB" w:rsidRDefault="005E0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Rounded 900">
    <w:altName w:val="Calibri"/>
    <w:panose1 w:val="00000000000000000000"/>
    <w:charset w:val="00"/>
    <w:family w:val="modern"/>
    <w:notTrueType/>
    <w:pitch w:val="variable"/>
    <w:sig w:usb0="A00000AF" w:usb1="4000004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08242"/>
      <w:docPartObj>
        <w:docPartGallery w:val="Page Numbers (Bottom of Page)"/>
        <w:docPartUnique/>
      </w:docPartObj>
    </w:sdtPr>
    <w:sdtEndPr/>
    <w:sdtContent>
      <w:p w14:paraId="09EE97D9" w14:textId="070F0C82" w:rsidR="00DE64F9" w:rsidRDefault="00DE64F9">
        <w:pPr>
          <w:pStyle w:val="Sidfot"/>
          <w:jc w:val="center"/>
        </w:pPr>
        <w:r>
          <w:fldChar w:fldCharType="begin"/>
        </w:r>
        <w:r>
          <w:instrText>PAGE   \* MERGEFORMAT</w:instrText>
        </w:r>
        <w:r>
          <w:fldChar w:fldCharType="separate"/>
        </w:r>
        <w:r w:rsidR="008B0157">
          <w:rPr>
            <w:noProof/>
          </w:rPr>
          <w:t>35</w:t>
        </w:r>
        <w:r>
          <w:fldChar w:fldCharType="end"/>
        </w:r>
      </w:p>
    </w:sdtContent>
  </w:sdt>
  <w:p w14:paraId="214406B9" w14:textId="77777777" w:rsidR="00DE64F9" w:rsidRDefault="00DE64F9" w:rsidP="00517C79">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8B45" w14:textId="0282AE15" w:rsidR="00DE64F9" w:rsidRDefault="00DE64F9">
    <w:pPr>
      <w:pStyle w:val="Sidfot"/>
      <w:jc w:val="center"/>
    </w:pPr>
  </w:p>
  <w:p w14:paraId="1F9FB215" w14:textId="77777777" w:rsidR="00DE64F9" w:rsidRDefault="00DE64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8EC9" w14:textId="77777777" w:rsidR="005E0DCB" w:rsidRDefault="005E0DCB" w:rsidP="00D42D3E">
      <w:pPr>
        <w:spacing w:after="0" w:line="240" w:lineRule="auto"/>
      </w:pPr>
      <w:r>
        <w:separator/>
      </w:r>
    </w:p>
  </w:footnote>
  <w:footnote w:type="continuationSeparator" w:id="0">
    <w:p w14:paraId="7FFE4188" w14:textId="77777777" w:rsidR="005E0DCB" w:rsidRDefault="005E0DCB" w:rsidP="00D42D3E">
      <w:pPr>
        <w:spacing w:after="0" w:line="240" w:lineRule="auto"/>
      </w:pPr>
      <w:r>
        <w:continuationSeparator/>
      </w:r>
    </w:p>
  </w:footnote>
  <w:footnote w:type="continuationNotice" w:id="1">
    <w:p w14:paraId="1BFB3302" w14:textId="77777777" w:rsidR="005E0DCB" w:rsidRDefault="005E0DCB">
      <w:pPr>
        <w:spacing w:after="0" w:line="240" w:lineRule="auto"/>
      </w:pPr>
    </w:p>
  </w:footnote>
  <w:footnote w:id="2">
    <w:p w14:paraId="0174C97E" w14:textId="77777777" w:rsidR="00DE64F9" w:rsidRDefault="00DE64F9">
      <w:pPr>
        <w:pStyle w:val="Fotnotstext"/>
      </w:pPr>
      <w:r>
        <w:rPr>
          <w:rStyle w:val="Fotnotsreferens"/>
        </w:rPr>
        <w:footnoteRef/>
      </w:r>
      <w:r>
        <w:t xml:space="preserve"> </w:t>
      </w:r>
      <w:hyperlink r:id="rId1" w:history="1">
        <w:r w:rsidRPr="009A3F5D">
          <w:rPr>
            <w:rStyle w:val="Hyperlnk"/>
          </w:rPr>
          <w:t>https://klimatkommunerna.se/kunskapsbank/sank-kolet/</w:t>
        </w:r>
      </w:hyperlink>
    </w:p>
  </w:footnote>
  <w:footnote w:id="3">
    <w:p w14:paraId="78A4E7DA" w14:textId="77777777" w:rsidR="00DE64F9" w:rsidRDefault="00DE64F9">
      <w:pPr>
        <w:pStyle w:val="Fotnotstext"/>
      </w:pPr>
      <w:r>
        <w:rPr>
          <w:rStyle w:val="Fotnotsreferens"/>
        </w:rPr>
        <w:footnoteRef/>
      </w:r>
      <w:r>
        <w:t xml:space="preserve"> </w:t>
      </w:r>
      <w:hyperlink r:id="rId2" w:history="1">
        <w:r w:rsidRPr="009A3F5D">
          <w:rPr>
            <w:rStyle w:val="Hyperlnk"/>
          </w:rPr>
          <w:t>https://frida.port.se/hemsidan/default.cfm</w:t>
        </w:r>
      </w:hyperlink>
      <w:r>
        <w:t xml:space="preserve"> </w:t>
      </w:r>
    </w:p>
  </w:footnote>
  <w:footnote w:id="4">
    <w:p w14:paraId="695F9798" w14:textId="77777777" w:rsidR="00DE64F9" w:rsidRDefault="00DE64F9" w:rsidP="00C67A44">
      <w:pPr>
        <w:pStyle w:val="Fotnotstext"/>
      </w:pPr>
      <w:r>
        <w:rPr>
          <w:rStyle w:val="Fotnotsreferens"/>
        </w:rPr>
        <w:footnoteRef/>
      </w:r>
      <w:r>
        <w:t xml:space="preserve"> </w:t>
      </w:r>
      <w:hyperlink r:id="rId3" w:history="1">
        <w:r w:rsidRPr="009A3F5D">
          <w:rPr>
            <w:rStyle w:val="Hyperlnk"/>
          </w:rPr>
          <w:t>https://frida.port.se/hemsidan/default.cfm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D73"/>
    <w:multiLevelType w:val="hybridMultilevel"/>
    <w:tmpl w:val="7B724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2873CC"/>
    <w:multiLevelType w:val="hybridMultilevel"/>
    <w:tmpl w:val="54523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016634"/>
    <w:multiLevelType w:val="hybridMultilevel"/>
    <w:tmpl w:val="5044AA7A"/>
    <w:lvl w:ilvl="0" w:tplc="88BAB774">
      <w:start w:val="1"/>
      <w:numFmt w:val="decimal"/>
      <w:lvlText w:val="%1."/>
      <w:lvlJc w:val="left"/>
      <w:pPr>
        <w:ind w:left="720" w:hanging="360"/>
      </w:pPr>
      <w:rPr>
        <w:rFonts w:ascii="Museo Sans Rounded 300" w:eastAsiaTheme="minorHAnsi" w:hAnsi="Museo Sans Rounded 300" w:cstheme="minorBidi"/>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7614E8"/>
    <w:multiLevelType w:val="hybridMultilevel"/>
    <w:tmpl w:val="9AC4CBF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15F2F09"/>
    <w:multiLevelType w:val="hybridMultilevel"/>
    <w:tmpl w:val="F3F24754"/>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810FE5"/>
    <w:multiLevelType w:val="hybridMultilevel"/>
    <w:tmpl w:val="D6A40532"/>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A415608"/>
    <w:multiLevelType w:val="hybridMultilevel"/>
    <w:tmpl w:val="95E278EC"/>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3A741A"/>
    <w:multiLevelType w:val="hybridMultilevel"/>
    <w:tmpl w:val="AF4456E4"/>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BE36484"/>
    <w:multiLevelType w:val="hybridMultilevel"/>
    <w:tmpl w:val="E660A74A"/>
    <w:lvl w:ilvl="0" w:tplc="56C4382E">
      <w:start w:val="1"/>
      <w:numFmt w:val="bullet"/>
      <w:lvlText w:val="-"/>
      <w:lvlJc w:val="left"/>
      <w:pPr>
        <w:ind w:left="720" w:hanging="360"/>
      </w:pPr>
      <w:rPr>
        <w:rFonts w:ascii="Museo Sans Rounded 300" w:eastAsiaTheme="minorHAnsi" w:hAnsi="Museo Sans Rounded 300"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865EB8"/>
    <w:multiLevelType w:val="hybridMultilevel"/>
    <w:tmpl w:val="2ADA49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E9673FF"/>
    <w:multiLevelType w:val="hybridMultilevel"/>
    <w:tmpl w:val="B798D7F2"/>
    <w:lvl w:ilvl="0" w:tplc="0A34B98A">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F02134B"/>
    <w:multiLevelType w:val="hybridMultilevel"/>
    <w:tmpl w:val="AA0AB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B863A4"/>
    <w:multiLevelType w:val="hybridMultilevel"/>
    <w:tmpl w:val="A6A230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33876FA2"/>
    <w:multiLevelType w:val="hybridMultilevel"/>
    <w:tmpl w:val="BDE8FB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348F09D0"/>
    <w:multiLevelType w:val="hybridMultilevel"/>
    <w:tmpl w:val="9F24C5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7154FD7"/>
    <w:multiLevelType w:val="hybridMultilevel"/>
    <w:tmpl w:val="5044AA7A"/>
    <w:lvl w:ilvl="0" w:tplc="FFFFFFFF">
      <w:start w:val="1"/>
      <w:numFmt w:val="decimal"/>
      <w:lvlText w:val="%1."/>
      <w:lvlJc w:val="left"/>
      <w:pPr>
        <w:ind w:left="720" w:hanging="360"/>
      </w:pPr>
      <w:rPr>
        <w:rFonts w:ascii="Museo Sans Rounded 300" w:eastAsiaTheme="minorHAnsi" w:hAnsi="Museo Sans Rounded 300"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3B739B"/>
    <w:multiLevelType w:val="hybridMultilevel"/>
    <w:tmpl w:val="C5D87F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E94737F"/>
    <w:multiLevelType w:val="hybridMultilevel"/>
    <w:tmpl w:val="1A4404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8BD4BA2"/>
    <w:multiLevelType w:val="hybridMultilevel"/>
    <w:tmpl w:val="7062E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EBB0EBD"/>
    <w:multiLevelType w:val="hybridMultilevel"/>
    <w:tmpl w:val="0C0A159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FFB1C12"/>
    <w:multiLevelType w:val="hybridMultilevel"/>
    <w:tmpl w:val="9A40EFE0"/>
    <w:lvl w:ilvl="0" w:tplc="1CDA41B8">
      <w:start w:val="1"/>
      <w:numFmt w:val="bullet"/>
      <w:lvlText w:val="-"/>
      <w:lvlJc w:val="left"/>
      <w:pPr>
        <w:ind w:left="720" w:hanging="360"/>
      </w:pPr>
      <w:rPr>
        <w:rFonts w:ascii="Museo Sans Rounded 300" w:eastAsiaTheme="minorHAnsi" w:hAnsi="Museo Sans Rounded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B30D7D"/>
    <w:multiLevelType w:val="hybridMultilevel"/>
    <w:tmpl w:val="59B87DD0"/>
    <w:lvl w:ilvl="0" w:tplc="FD72A83A">
      <w:start w:val="3"/>
      <w:numFmt w:val="bullet"/>
      <w:lvlText w:val="-"/>
      <w:lvlJc w:val="left"/>
      <w:pPr>
        <w:ind w:left="720" w:hanging="360"/>
      </w:pPr>
      <w:rPr>
        <w:rFonts w:ascii="Museo Sans Rounded 300" w:eastAsiaTheme="minorHAnsi" w:hAnsi="Museo Sans Rounded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6F029C"/>
    <w:multiLevelType w:val="hybridMultilevel"/>
    <w:tmpl w:val="A698C51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57D248E4"/>
    <w:multiLevelType w:val="hybridMultilevel"/>
    <w:tmpl w:val="C7AA79A0"/>
    <w:lvl w:ilvl="0" w:tplc="56C4382E">
      <w:start w:val="1"/>
      <w:numFmt w:val="bullet"/>
      <w:lvlText w:val="-"/>
      <w:lvlJc w:val="left"/>
      <w:pPr>
        <w:ind w:left="360" w:hanging="360"/>
      </w:pPr>
      <w:rPr>
        <w:rFonts w:ascii="Museo Sans Rounded 300" w:eastAsiaTheme="minorHAnsi" w:hAnsi="Museo Sans Rounded 300"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97F34B1"/>
    <w:multiLevelType w:val="hybridMultilevel"/>
    <w:tmpl w:val="41BC5098"/>
    <w:lvl w:ilvl="0" w:tplc="AEC41DA8">
      <w:start w:val="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EBA428A"/>
    <w:multiLevelType w:val="hybridMultilevel"/>
    <w:tmpl w:val="DFA4429C"/>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1135CF8"/>
    <w:multiLevelType w:val="hybridMultilevel"/>
    <w:tmpl w:val="1C844100"/>
    <w:lvl w:ilvl="0" w:tplc="E6E8FE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BC0212"/>
    <w:multiLevelType w:val="hybridMultilevel"/>
    <w:tmpl w:val="417A5222"/>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50248E6"/>
    <w:multiLevelType w:val="hybridMultilevel"/>
    <w:tmpl w:val="E79288B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68E01B01"/>
    <w:multiLevelType w:val="hybridMultilevel"/>
    <w:tmpl w:val="65AAB7E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7DEA52C2"/>
    <w:multiLevelType w:val="hybridMultilevel"/>
    <w:tmpl w:val="9DE49D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40787582">
    <w:abstractNumId w:val="27"/>
  </w:num>
  <w:num w:numId="2" w16cid:durableId="17584757">
    <w:abstractNumId w:val="14"/>
  </w:num>
  <w:num w:numId="3" w16cid:durableId="1618415202">
    <w:abstractNumId w:val="24"/>
  </w:num>
  <w:num w:numId="4" w16cid:durableId="1622565001">
    <w:abstractNumId w:val="7"/>
  </w:num>
  <w:num w:numId="5" w16cid:durableId="48000419">
    <w:abstractNumId w:val="20"/>
  </w:num>
  <w:num w:numId="6" w16cid:durableId="229459477">
    <w:abstractNumId w:val="25"/>
  </w:num>
  <w:num w:numId="7" w16cid:durableId="172762660">
    <w:abstractNumId w:val="22"/>
  </w:num>
  <w:num w:numId="8" w16cid:durableId="1165902409">
    <w:abstractNumId w:val="12"/>
  </w:num>
  <w:num w:numId="9" w16cid:durableId="2142189897">
    <w:abstractNumId w:val="0"/>
  </w:num>
  <w:num w:numId="10" w16cid:durableId="1791851386">
    <w:abstractNumId w:val="2"/>
  </w:num>
  <w:num w:numId="11" w16cid:durableId="333723571">
    <w:abstractNumId w:val="21"/>
  </w:num>
  <w:num w:numId="12" w16cid:durableId="1397774544">
    <w:abstractNumId w:val="4"/>
  </w:num>
  <w:num w:numId="13" w16cid:durableId="1977641226">
    <w:abstractNumId w:val="11"/>
  </w:num>
  <w:num w:numId="14" w16cid:durableId="1382250866">
    <w:abstractNumId w:val="23"/>
  </w:num>
  <w:num w:numId="15" w16cid:durableId="1218055811">
    <w:abstractNumId w:val="15"/>
  </w:num>
  <w:num w:numId="16" w16cid:durableId="427625128">
    <w:abstractNumId w:val="10"/>
  </w:num>
  <w:num w:numId="17" w16cid:durableId="947196822">
    <w:abstractNumId w:val="26"/>
  </w:num>
  <w:num w:numId="18" w16cid:durableId="1869952209">
    <w:abstractNumId w:val="1"/>
  </w:num>
  <w:num w:numId="19" w16cid:durableId="1912425951">
    <w:abstractNumId w:val="16"/>
  </w:num>
  <w:num w:numId="20" w16cid:durableId="680425190">
    <w:abstractNumId w:val="28"/>
  </w:num>
  <w:num w:numId="21" w16cid:durableId="371154544">
    <w:abstractNumId w:val="18"/>
  </w:num>
  <w:num w:numId="22" w16cid:durableId="214395301">
    <w:abstractNumId w:val="17"/>
  </w:num>
  <w:num w:numId="23" w16cid:durableId="1895585306">
    <w:abstractNumId w:val="8"/>
  </w:num>
  <w:num w:numId="24" w16cid:durableId="1114329088">
    <w:abstractNumId w:val="6"/>
  </w:num>
  <w:num w:numId="25" w16cid:durableId="2090687096">
    <w:abstractNumId w:val="9"/>
  </w:num>
  <w:num w:numId="26" w16cid:durableId="1021861655">
    <w:abstractNumId w:val="5"/>
  </w:num>
  <w:num w:numId="27" w16cid:durableId="1455563183">
    <w:abstractNumId w:val="30"/>
  </w:num>
  <w:num w:numId="28" w16cid:durableId="874195090">
    <w:abstractNumId w:val="13"/>
  </w:num>
  <w:num w:numId="29" w16cid:durableId="465046062">
    <w:abstractNumId w:val="19"/>
  </w:num>
  <w:num w:numId="30" w16cid:durableId="1006320201">
    <w:abstractNumId w:val="3"/>
  </w:num>
  <w:num w:numId="31" w16cid:durableId="56271898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 Gustafsson">
    <w15:presenceInfo w15:providerId="AD" w15:userId="S::carl.gustafsson@2050.se::5d569076-9a7e-4abd-8abb-53ebfcd25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D5"/>
    <w:rsid w:val="00000B20"/>
    <w:rsid w:val="00003196"/>
    <w:rsid w:val="00003D03"/>
    <w:rsid w:val="00004114"/>
    <w:rsid w:val="000055A7"/>
    <w:rsid w:val="00010B31"/>
    <w:rsid w:val="000118A1"/>
    <w:rsid w:val="00012561"/>
    <w:rsid w:val="00015955"/>
    <w:rsid w:val="000173C5"/>
    <w:rsid w:val="00017873"/>
    <w:rsid w:val="00020264"/>
    <w:rsid w:val="00020CB9"/>
    <w:rsid w:val="00020F29"/>
    <w:rsid w:val="000245BD"/>
    <w:rsid w:val="0002546F"/>
    <w:rsid w:val="00025FA0"/>
    <w:rsid w:val="00027053"/>
    <w:rsid w:val="00027CD6"/>
    <w:rsid w:val="00030D98"/>
    <w:rsid w:val="00031E41"/>
    <w:rsid w:val="00032606"/>
    <w:rsid w:val="00032ED8"/>
    <w:rsid w:val="00034B6C"/>
    <w:rsid w:val="00034BF9"/>
    <w:rsid w:val="000363F5"/>
    <w:rsid w:val="0003652F"/>
    <w:rsid w:val="00040269"/>
    <w:rsid w:val="000403DF"/>
    <w:rsid w:val="00041A63"/>
    <w:rsid w:val="000423B8"/>
    <w:rsid w:val="0004291D"/>
    <w:rsid w:val="00044353"/>
    <w:rsid w:val="00044F8B"/>
    <w:rsid w:val="00045160"/>
    <w:rsid w:val="00046C69"/>
    <w:rsid w:val="00047614"/>
    <w:rsid w:val="00047908"/>
    <w:rsid w:val="00047D95"/>
    <w:rsid w:val="0005108D"/>
    <w:rsid w:val="0005174F"/>
    <w:rsid w:val="000517A3"/>
    <w:rsid w:val="00051FFD"/>
    <w:rsid w:val="00053AE3"/>
    <w:rsid w:val="00054779"/>
    <w:rsid w:val="00054D66"/>
    <w:rsid w:val="0005556F"/>
    <w:rsid w:val="00055E9F"/>
    <w:rsid w:val="00056FC6"/>
    <w:rsid w:val="0006085F"/>
    <w:rsid w:val="00061260"/>
    <w:rsid w:val="0006177E"/>
    <w:rsid w:val="000625D5"/>
    <w:rsid w:val="0006385C"/>
    <w:rsid w:val="0006410B"/>
    <w:rsid w:val="00064223"/>
    <w:rsid w:val="00064BEE"/>
    <w:rsid w:val="000658B8"/>
    <w:rsid w:val="000663C9"/>
    <w:rsid w:val="000668E9"/>
    <w:rsid w:val="00067FED"/>
    <w:rsid w:val="0007004D"/>
    <w:rsid w:val="0007096A"/>
    <w:rsid w:val="00070B05"/>
    <w:rsid w:val="000715E0"/>
    <w:rsid w:val="00071B6E"/>
    <w:rsid w:val="000729EC"/>
    <w:rsid w:val="0007357F"/>
    <w:rsid w:val="00073ABA"/>
    <w:rsid w:val="00073D49"/>
    <w:rsid w:val="000741B4"/>
    <w:rsid w:val="000744DC"/>
    <w:rsid w:val="00074920"/>
    <w:rsid w:val="00075CCF"/>
    <w:rsid w:val="0007637C"/>
    <w:rsid w:val="00077421"/>
    <w:rsid w:val="000774AA"/>
    <w:rsid w:val="00077518"/>
    <w:rsid w:val="0007765C"/>
    <w:rsid w:val="00077B7E"/>
    <w:rsid w:val="000814EB"/>
    <w:rsid w:val="000815DC"/>
    <w:rsid w:val="00081726"/>
    <w:rsid w:val="0008330C"/>
    <w:rsid w:val="000835AF"/>
    <w:rsid w:val="00083C00"/>
    <w:rsid w:val="00085355"/>
    <w:rsid w:val="00086319"/>
    <w:rsid w:val="000875E4"/>
    <w:rsid w:val="000879F1"/>
    <w:rsid w:val="00087EAA"/>
    <w:rsid w:val="000903C6"/>
    <w:rsid w:val="0009043D"/>
    <w:rsid w:val="00090CFF"/>
    <w:rsid w:val="00091569"/>
    <w:rsid w:val="00091893"/>
    <w:rsid w:val="00091B5D"/>
    <w:rsid w:val="00092D11"/>
    <w:rsid w:val="00093A3D"/>
    <w:rsid w:val="00094FD4"/>
    <w:rsid w:val="000953BE"/>
    <w:rsid w:val="00095934"/>
    <w:rsid w:val="00095B5A"/>
    <w:rsid w:val="00095BEA"/>
    <w:rsid w:val="00095C7D"/>
    <w:rsid w:val="00096A0B"/>
    <w:rsid w:val="00096C38"/>
    <w:rsid w:val="00096E70"/>
    <w:rsid w:val="00097D0E"/>
    <w:rsid w:val="000A00BC"/>
    <w:rsid w:val="000A0B24"/>
    <w:rsid w:val="000A0C83"/>
    <w:rsid w:val="000A1664"/>
    <w:rsid w:val="000A1AC8"/>
    <w:rsid w:val="000A1D8A"/>
    <w:rsid w:val="000A2808"/>
    <w:rsid w:val="000A2FB3"/>
    <w:rsid w:val="000A391A"/>
    <w:rsid w:val="000A4E5D"/>
    <w:rsid w:val="000A4FAB"/>
    <w:rsid w:val="000A5454"/>
    <w:rsid w:val="000A6F28"/>
    <w:rsid w:val="000A7FED"/>
    <w:rsid w:val="000B031C"/>
    <w:rsid w:val="000B0368"/>
    <w:rsid w:val="000B049B"/>
    <w:rsid w:val="000B06A6"/>
    <w:rsid w:val="000B08F3"/>
    <w:rsid w:val="000B1039"/>
    <w:rsid w:val="000B1B73"/>
    <w:rsid w:val="000B2447"/>
    <w:rsid w:val="000B3340"/>
    <w:rsid w:val="000B3D26"/>
    <w:rsid w:val="000B48E7"/>
    <w:rsid w:val="000B59CD"/>
    <w:rsid w:val="000B6A80"/>
    <w:rsid w:val="000B702B"/>
    <w:rsid w:val="000B7408"/>
    <w:rsid w:val="000B7F1C"/>
    <w:rsid w:val="000B7FB6"/>
    <w:rsid w:val="000C101D"/>
    <w:rsid w:val="000C146A"/>
    <w:rsid w:val="000C2588"/>
    <w:rsid w:val="000C3958"/>
    <w:rsid w:val="000C3ACF"/>
    <w:rsid w:val="000C3BA2"/>
    <w:rsid w:val="000C3D30"/>
    <w:rsid w:val="000C4064"/>
    <w:rsid w:val="000C454B"/>
    <w:rsid w:val="000C4723"/>
    <w:rsid w:val="000C488A"/>
    <w:rsid w:val="000C6574"/>
    <w:rsid w:val="000C6C44"/>
    <w:rsid w:val="000C76C2"/>
    <w:rsid w:val="000C7A3A"/>
    <w:rsid w:val="000D1E83"/>
    <w:rsid w:val="000D2573"/>
    <w:rsid w:val="000D3B3E"/>
    <w:rsid w:val="000D3DB4"/>
    <w:rsid w:val="000D5AF9"/>
    <w:rsid w:val="000D60CD"/>
    <w:rsid w:val="000D623C"/>
    <w:rsid w:val="000D6943"/>
    <w:rsid w:val="000D73EA"/>
    <w:rsid w:val="000D7BEC"/>
    <w:rsid w:val="000E08BF"/>
    <w:rsid w:val="000E0AB3"/>
    <w:rsid w:val="000E2BF7"/>
    <w:rsid w:val="000E2F83"/>
    <w:rsid w:val="000E40A5"/>
    <w:rsid w:val="000E4153"/>
    <w:rsid w:val="000E4A73"/>
    <w:rsid w:val="000E5349"/>
    <w:rsid w:val="000E6CB1"/>
    <w:rsid w:val="000F0A97"/>
    <w:rsid w:val="000F1242"/>
    <w:rsid w:val="000F2992"/>
    <w:rsid w:val="000F2D37"/>
    <w:rsid w:val="000F36F8"/>
    <w:rsid w:val="000F3AAC"/>
    <w:rsid w:val="000F442C"/>
    <w:rsid w:val="000F4985"/>
    <w:rsid w:val="000F4A06"/>
    <w:rsid w:val="000F4EBC"/>
    <w:rsid w:val="000F69C8"/>
    <w:rsid w:val="000F6E31"/>
    <w:rsid w:val="000F77F3"/>
    <w:rsid w:val="001013D1"/>
    <w:rsid w:val="001015D5"/>
    <w:rsid w:val="001019DB"/>
    <w:rsid w:val="00102389"/>
    <w:rsid w:val="001029C3"/>
    <w:rsid w:val="0010313B"/>
    <w:rsid w:val="001034CC"/>
    <w:rsid w:val="00104384"/>
    <w:rsid w:val="001044F0"/>
    <w:rsid w:val="001047F2"/>
    <w:rsid w:val="00104A1E"/>
    <w:rsid w:val="00104DD4"/>
    <w:rsid w:val="001066B3"/>
    <w:rsid w:val="001066B9"/>
    <w:rsid w:val="00107F7A"/>
    <w:rsid w:val="0011029F"/>
    <w:rsid w:val="001107F2"/>
    <w:rsid w:val="00111C78"/>
    <w:rsid w:val="0011261D"/>
    <w:rsid w:val="0011315E"/>
    <w:rsid w:val="00114127"/>
    <w:rsid w:val="001142E8"/>
    <w:rsid w:val="001147A1"/>
    <w:rsid w:val="00114CAA"/>
    <w:rsid w:val="0011604A"/>
    <w:rsid w:val="00116AE4"/>
    <w:rsid w:val="00116F6B"/>
    <w:rsid w:val="00117F97"/>
    <w:rsid w:val="001202B0"/>
    <w:rsid w:val="001208E3"/>
    <w:rsid w:val="00121B7D"/>
    <w:rsid w:val="00122054"/>
    <w:rsid w:val="001224A3"/>
    <w:rsid w:val="0012355C"/>
    <w:rsid w:val="001236AE"/>
    <w:rsid w:val="00124802"/>
    <w:rsid w:val="00126180"/>
    <w:rsid w:val="00126A55"/>
    <w:rsid w:val="00127293"/>
    <w:rsid w:val="00127A99"/>
    <w:rsid w:val="00127FB6"/>
    <w:rsid w:val="00127FFB"/>
    <w:rsid w:val="00131FB1"/>
    <w:rsid w:val="00133091"/>
    <w:rsid w:val="001357DB"/>
    <w:rsid w:val="00135C55"/>
    <w:rsid w:val="001369E5"/>
    <w:rsid w:val="00136A7B"/>
    <w:rsid w:val="001371DF"/>
    <w:rsid w:val="001406BD"/>
    <w:rsid w:val="00141152"/>
    <w:rsid w:val="001417FC"/>
    <w:rsid w:val="00141F04"/>
    <w:rsid w:val="001426A2"/>
    <w:rsid w:val="00142E65"/>
    <w:rsid w:val="001432D3"/>
    <w:rsid w:val="0014330F"/>
    <w:rsid w:val="001438A0"/>
    <w:rsid w:val="00145343"/>
    <w:rsid w:val="00145DDC"/>
    <w:rsid w:val="00146625"/>
    <w:rsid w:val="00146B22"/>
    <w:rsid w:val="00147CBD"/>
    <w:rsid w:val="00147DF7"/>
    <w:rsid w:val="001509C3"/>
    <w:rsid w:val="001515E7"/>
    <w:rsid w:val="001515EA"/>
    <w:rsid w:val="00151735"/>
    <w:rsid w:val="00151BF7"/>
    <w:rsid w:val="00152A11"/>
    <w:rsid w:val="0015484A"/>
    <w:rsid w:val="00154D35"/>
    <w:rsid w:val="001567B3"/>
    <w:rsid w:val="00156B25"/>
    <w:rsid w:val="00161F75"/>
    <w:rsid w:val="00162387"/>
    <w:rsid w:val="00162517"/>
    <w:rsid w:val="00162BC3"/>
    <w:rsid w:val="00162D38"/>
    <w:rsid w:val="00162F70"/>
    <w:rsid w:val="00165D81"/>
    <w:rsid w:val="001669A9"/>
    <w:rsid w:val="001675A2"/>
    <w:rsid w:val="001708ED"/>
    <w:rsid w:val="0017199F"/>
    <w:rsid w:val="00173C2F"/>
    <w:rsid w:val="001746D0"/>
    <w:rsid w:val="00180245"/>
    <w:rsid w:val="00180330"/>
    <w:rsid w:val="00182D2C"/>
    <w:rsid w:val="001836BC"/>
    <w:rsid w:val="0018401F"/>
    <w:rsid w:val="001845C2"/>
    <w:rsid w:val="00184FC6"/>
    <w:rsid w:val="00185280"/>
    <w:rsid w:val="001852A9"/>
    <w:rsid w:val="00185DDB"/>
    <w:rsid w:val="00187DB6"/>
    <w:rsid w:val="001906F5"/>
    <w:rsid w:val="00190BC2"/>
    <w:rsid w:val="00190EA8"/>
    <w:rsid w:val="0019178C"/>
    <w:rsid w:val="001926E6"/>
    <w:rsid w:val="00192B07"/>
    <w:rsid w:val="00192D8D"/>
    <w:rsid w:val="00194E8D"/>
    <w:rsid w:val="001951A9"/>
    <w:rsid w:val="0019529B"/>
    <w:rsid w:val="00195BF6"/>
    <w:rsid w:val="00195DF4"/>
    <w:rsid w:val="001A054D"/>
    <w:rsid w:val="001A0E55"/>
    <w:rsid w:val="001A1B74"/>
    <w:rsid w:val="001A30DC"/>
    <w:rsid w:val="001A4EDA"/>
    <w:rsid w:val="001A5319"/>
    <w:rsid w:val="001A60D9"/>
    <w:rsid w:val="001A6152"/>
    <w:rsid w:val="001A641C"/>
    <w:rsid w:val="001A652B"/>
    <w:rsid w:val="001A6749"/>
    <w:rsid w:val="001A6C94"/>
    <w:rsid w:val="001A7D35"/>
    <w:rsid w:val="001B1081"/>
    <w:rsid w:val="001B1180"/>
    <w:rsid w:val="001B1AFB"/>
    <w:rsid w:val="001B2BED"/>
    <w:rsid w:val="001B43F2"/>
    <w:rsid w:val="001B4CF0"/>
    <w:rsid w:val="001B5762"/>
    <w:rsid w:val="001B5AD6"/>
    <w:rsid w:val="001B7008"/>
    <w:rsid w:val="001B7735"/>
    <w:rsid w:val="001B78F5"/>
    <w:rsid w:val="001B7D89"/>
    <w:rsid w:val="001C0624"/>
    <w:rsid w:val="001C1279"/>
    <w:rsid w:val="001C2CC3"/>
    <w:rsid w:val="001C2F38"/>
    <w:rsid w:val="001C31A7"/>
    <w:rsid w:val="001C3204"/>
    <w:rsid w:val="001C57B3"/>
    <w:rsid w:val="001C6EE6"/>
    <w:rsid w:val="001C7019"/>
    <w:rsid w:val="001C74B7"/>
    <w:rsid w:val="001D0296"/>
    <w:rsid w:val="001D07CA"/>
    <w:rsid w:val="001D11F8"/>
    <w:rsid w:val="001D2BB3"/>
    <w:rsid w:val="001D449B"/>
    <w:rsid w:val="001D49F7"/>
    <w:rsid w:val="001D563F"/>
    <w:rsid w:val="001D6626"/>
    <w:rsid w:val="001D6C5E"/>
    <w:rsid w:val="001E044D"/>
    <w:rsid w:val="001E0D03"/>
    <w:rsid w:val="001E128D"/>
    <w:rsid w:val="001E2CCC"/>
    <w:rsid w:val="001E2F32"/>
    <w:rsid w:val="001E4D09"/>
    <w:rsid w:val="001E4F13"/>
    <w:rsid w:val="001E6E8B"/>
    <w:rsid w:val="001F08ED"/>
    <w:rsid w:val="001F0C62"/>
    <w:rsid w:val="001F11FD"/>
    <w:rsid w:val="001F12C2"/>
    <w:rsid w:val="001F2C99"/>
    <w:rsid w:val="001F3A6B"/>
    <w:rsid w:val="001F3BBB"/>
    <w:rsid w:val="001F3CBD"/>
    <w:rsid w:val="001F49F4"/>
    <w:rsid w:val="001F4C50"/>
    <w:rsid w:val="001F6556"/>
    <w:rsid w:val="001F6F57"/>
    <w:rsid w:val="0020178F"/>
    <w:rsid w:val="00202E4A"/>
    <w:rsid w:val="00202F60"/>
    <w:rsid w:val="00207114"/>
    <w:rsid w:val="002075E6"/>
    <w:rsid w:val="00207E47"/>
    <w:rsid w:val="002103A0"/>
    <w:rsid w:val="0021050D"/>
    <w:rsid w:val="00210FEF"/>
    <w:rsid w:val="002114B2"/>
    <w:rsid w:val="0021245C"/>
    <w:rsid w:val="00213B33"/>
    <w:rsid w:val="002146CB"/>
    <w:rsid w:val="00215BA4"/>
    <w:rsid w:val="002169E4"/>
    <w:rsid w:val="00220732"/>
    <w:rsid w:val="00221E93"/>
    <w:rsid w:val="0022241F"/>
    <w:rsid w:val="00222A87"/>
    <w:rsid w:val="00222FF2"/>
    <w:rsid w:val="0022374F"/>
    <w:rsid w:val="00223AB5"/>
    <w:rsid w:val="00224A4B"/>
    <w:rsid w:val="00225CDB"/>
    <w:rsid w:val="002263EC"/>
    <w:rsid w:val="00230094"/>
    <w:rsid w:val="00230AB4"/>
    <w:rsid w:val="002318FD"/>
    <w:rsid w:val="00231FEE"/>
    <w:rsid w:val="002336D2"/>
    <w:rsid w:val="002341AE"/>
    <w:rsid w:val="0023576D"/>
    <w:rsid w:val="00236881"/>
    <w:rsid w:val="00237FB6"/>
    <w:rsid w:val="00242838"/>
    <w:rsid w:val="002431A0"/>
    <w:rsid w:val="00246513"/>
    <w:rsid w:val="00246758"/>
    <w:rsid w:val="002506A0"/>
    <w:rsid w:val="00251BE3"/>
    <w:rsid w:val="002522A4"/>
    <w:rsid w:val="00253701"/>
    <w:rsid w:val="00256A23"/>
    <w:rsid w:val="0026076E"/>
    <w:rsid w:val="00261F1F"/>
    <w:rsid w:val="00263B7B"/>
    <w:rsid w:val="002650CC"/>
    <w:rsid w:val="0026539A"/>
    <w:rsid w:val="00265CAA"/>
    <w:rsid w:val="00266EE5"/>
    <w:rsid w:val="00267514"/>
    <w:rsid w:val="002708FD"/>
    <w:rsid w:val="00270D94"/>
    <w:rsid w:val="00270FC5"/>
    <w:rsid w:val="00272695"/>
    <w:rsid w:val="00272EC7"/>
    <w:rsid w:val="00273768"/>
    <w:rsid w:val="00273968"/>
    <w:rsid w:val="00273FF7"/>
    <w:rsid w:val="002741E4"/>
    <w:rsid w:val="002747E5"/>
    <w:rsid w:val="00274F03"/>
    <w:rsid w:val="00275CA6"/>
    <w:rsid w:val="00275E94"/>
    <w:rsid w:val="00276303"/>
    <w:rsid w:val="00276754"/>
    <w:rsid w:val="00276B28"/>
    <w:rsid w:val="00280330"/>
    <w:rsid w:val="00281CD4"/>
    <w:rsid w:val="0028258A"/>
    <w:rsid w:val="00282D0D"/>
    <w:rsid w:val="00285C35"/>
    <w:rsid w:val="00286A51"/>
    <w:rsid w:val="002875D8"/>
    <w:rsid w:val="002902EB"/>
    <w:rsid w:val="00290965"/>
    <w:rsid w:val="002910E1"/>
    <w:rsid w:val="00291362"/>
    <w:rsid w:val="00291A25"/>
    <w:rsid w:val="00291CFF"/>
    <w:rsid w:val="00292241"/>
    <w:rsid w:val="0029303D"/>
    <w:rsid w:val="002934E7"/>
    <w:rsid w:val="00293A2B"/>
    <w:rsid w:val="00294186"/>
    <w:rsid w:val="00294494"/>
    <w:rsid w:val="002951BA"/>
    <w:rsid w:val="002956C8"/>
    <w:rsid w:val="00295818"/>
    <w:rsid w:val="00297AE0"/>
    <w:rsid w:val="00297E19"/>
    <w:rsid w:val="002A061C"/>
    <w:rsid w:val="002A07F4"/>
    <w:rsid w:val="002A111A"/>
    <w:rsid w:val="002A30D1"/>
    <w:rsid w:val="002A4444"/>
    <w:rsid w:val="002A49AD"/>
    <w:rsid w:val="002A5A21"/>
    <w:rsid w:val="002A5BCC"/>
    <w:rsid w:val="002A6BFA"/>
    <w:rsid w:val="002A6D07"/>
    <w:rsid w:val="002B033B"/>
    <w:rsid w:val="002B1F28"/>
    <w:rsid w:val="002B3124"/>
    <w:rsid w:val="002B3654"/>
    <w:rsid w:val="002B378D"/>
    <w:rsid w:val="002B3AEE"/>
    <w:rsid w:val="002B3B02"/>
    <w:rsid w:val="002B4D64"/>
    <w:rsid w:val="002B591E"/>
    <w:rsid w:val="002B6C87"/>
    <w:rsid w:val="002B7057"/>
    <w:rsid w:val="002B73DB"/>
    <w:rsid w:val="002B7BAC"/>
    <w:rsid w:val="002B7CFB"/>
    <w:rsid w:val="002C078D"/>
    <w:rsid w:val="002C184A"/>
    <w:rsid w:val="002C290A"/>
    <w:rsid w:val="002C2B94"/>
    <w:rsid w:val="002C40D4"/>
    <w:rsid w:val="002C4D04"/>
    <w:rsid w:val="002C51DB"/>
    <w:rsid w:val="002C716C"/>
    <w:rsid w:val="002D00EC"/>
    <w:rsid w:val="002D1C51"/>
    <w:rsid w:val="002D22DE"/>
    <w:rsid w:val="002D2B4C"/>
    <w:rsid w:val="002D3519"/>
    <w:rsid w:val="002D40CF"/>
    <w:rsid w:val="002D498F"/>
    <w:rsid w:val="002D4C56"/>
    <w:rsid w:val="002D540A"/>
    <w:rsid w:val="002D560B"/>
    <w:rsid w:val="002D5DC5"/>
    <w:rsid w:val="002D677D"/>
    <w:rsid w:val="002D73ED"/>
    <w:rsid w:val="002E1525"/>
    <w:rsid w:val="002E1897"/>
    <w:rsid w:val="002E1D68"/>
    <w:rsid w:val="002E2C54"/>
    <w:rsid w:val="002E305B"/>
    <w:rsid w:val="002E316F"/>
    <w:rsid w:val="002E4205"/>
    <w:rsid w:val="002E4BB5"/>
    <w:rsid w:val="002E4BDA"/>
    <w:rsid w:val="002E4BDE"/>
    <w:rsid w:val="002E7151"/>
    <w:rsid w:val="002F0513"/>
    <w:rsid w:val="002F1065"/>
    <w:rsid w:val="002F164D"/>
    <w:rsid w:val="002F20D7"/>
    <w:rsid w:val="002F2667"/>
    <w:rsid w:val="002F3127"/>
    <w:rsid w:val="002F3987"/>
    <w:rsid w:val="002F3CA0"/>
    <w:rsid w:val="002F6B56"/>
    <w:rsid w:val="002F711E"/>
    <w:rsid w:val="002F7197"/>
    <w:rsid w:val="00300BDA"/>
    <w:rsid w:val="00301573"/>
    <w:rsid w:val="00302877"/>
    <w:rsid w:val="0030323E"/>
    <w:rsid w:val="0030326F"/>
    <w:rsid w:val="003033EE"/>
    <w:rsid w:val="003042C9"/>
    <w:rsid w:val="0030432A"/>
    <w:rsid w:val="003052EF"/>
    <w:rsid w:val="00306248"/>
    <w:rsid w:val="00306290"/>
    <w:rsid w:val="00306666"/>
    <w:rsid w:val="003068A5"/>
    <w:rsid w:val="003069B8"/>
    <w:rsid w:val="00310693"/>
    <w:rsid w:val="00310A5F"/>
    <w:rsid w:val="00311656"/>
    <w:rsid w:val="00311A65"/>
    <w:rsid w:val="003124BD"/>
    <w:rsid w:val="00312E45"/>
    <w:rsid w:val="003137CD"/>
    <w:rsid w:val="003146A2"/>
    <w:rsid w:val="00316C1B"/>
    <w:rsid w:val="00317C93"/>
    <w:rsid w:val="003207A7"/>
    <w:rsid w:val="00320BEB"/>
    <w:rsid w:val="00321624"/>
    <w:rsid w:val="00321716"/>
    <w:rsid w:val="0032286A"/>
    <w:rsid w:val="00322AB1"/>
    <w:rsid w:val="003236F2"/>
    <w:rsid w:val="00324823"/>
    <w:rsid w:val="00324CAB"/>
    <w:rsid w:val="00326B22"/>
    <w:rsid w:val="00326CFC"/>
    <w:rsid w:val="00327247"/>
    <w:rsid w:val="00327A20"/>
    <w:rsid w:val="00327EF0"/>
    <w:rsid w:val="003303F2"/>
    <w:rsid w:val="0033110B"/>
    <w:rsid w:val="0033130D"/>
    <w:rsid w:val="00331370"/>
    <w:rsid w:val="0033487C"/>
    <w:rsid w:val="00334F2F"/>
    <w:rsid w:val="00335453"/>
    <w:rsid w:val="003357A7"/>
    <w:rsid w:val="00335F19"/>
    <w:rsid w:val="00336858"/>
    <w:rsid w:val="003372F7"/>
    <w:rsid w:val="00340D0F"/>
    <w:rsid w:val="003419D0"/>
    <w:rsid w:val="00344921"/>
    <w:rsid w:val="00344955"/>
    <w:rsid w:val="003453CF"/>
    <w:rsid w:val="00345444"/>
    <w:rsid w:val="00347C5E"/>
    <w:rsid w:val="003501BD"/>
    <w:rsid w:val="00350334"/>
    <w:rsid w:val="00352100"/>
    <w:rsid w:val="00352A89"/>
    <w:rsid w:val="00352DC2"/>
    <w:rsid w:val="0035620A"/>
    <w:rsid w:val="00356885"/>
    <w:rsid w:val="00356CB1"/>
    <w:rsid w:val="00360545"/>
    <w:rsid w:val="00360F16"/>
    <w:rsid w:val="003614A3"/>
    <w:rsid w:val="003617FB"/>
    <w:rsid w:val="00364ECE"/>
    <w:rsid w:val="0036564D"/>
    <w:rsid w:val="003657F0"/>
    <w:rsid w:val="00365BBF"/>
    <w:rsid w:val="003663AE"/>
    <w:rsid w:val="0036649E"/>
    <w:rsid w:val="003669B2"/>
    <w:rsid w:val="003679DE"/>
    <w:rsid w:val="00367BF6"/>
    <w:rsid w:val="003713E5"/>
    <w:rsid w:val="0037270A"/>
    <w:rsid w:val="00372A4F"/>
    <w:rsid w:val="00373259"/>
    <w:rsid w:val="00374B9E"/>
    <w:rsid w:val="003759BE"/>
    <w:rsid w:val="003762A2"/>
    <w:rsid w:val="00376EEE"/>
    <w:rsid w:val="00377413"/>
    <w:rsid w:val="003809C5"/>
    <w:rsid w:val="00381443"/>
    <w:rsid w:val="00383327"/>
    <w:rsid w:val="0038369C"/>
    <w:rsid w:val="00384189"/>
    <w:rsid w:val="0038425F"/>
    <w:rsid w:val="00384F41"/>
    <w:rsid w:val="0038526D"/>
    <w:rsid w:val="0038530B"/>
    <w:rsid w:val="00386687"/>
    <w:rsid w:val="00387120"/>
    <w:rsid w:val="0038730F"/>
    <w:rsid w:val="00387533"/>
    <w:rsid w:val="003875DC"/>
    <w:rsid w:val="003877B2"/>
    <w:rsid w:val="0039070B"/>
    <w:rsid w:val="00390823"/>
    <w:rsid w:val="0039284B"/>
    <w:rsid w:val="0039351A"/>
    <w:rsid w:val="00393F36"/>
    <w:rsid w:val="00395343"/>
    <w:rsid w:val="00395785"/>
    <w:rsid w:val="003966DC"/>
    <w:rsid w:val="00396D2C"/>
    <w:rsid w:val="003974A9"/>
    <w:rsid w:val="003974D6"/>
    <w:rsid w:val="003A05C2"/>
    <w:rsid w:val="003A0A3D"/>
    <w:rsid w:val="003A0A88"/>
    <w:rsid w:val="003A17C1"/>
    <w:rsid w:val="003A2498"/>
    <w:rsid w:val="003A274E"/>
    <w:rsid w:val="003A3A98"/>
    <w:rsid w:val="003A3DF1"/>
    <w:rsid w:val="003A42E9"/>
    <w:rsid w:val="003A433F"/>
    <w:rsid w:val="003A5027"/>
    <w:rsid w:val="003A5175"/>
    <w:rsid w:val="003A527E"/>
    <w:rsid w:val="003A53B8"/>
    <w:rsid w:val="003A7249"/>
    <w:rsid w:val="003A7363"/>
    <w:rsid w:val="003B05E2"/>
    <w:rsid w:val="003B11AB"/>
    <w:rsid w:val="003B1C9D"/>
    <w:rsid w:val="003B1D8F"/>
    <w:rsid w:val="003B2465"/>
    <w:rsid w:val="003B36C8"/>
    <w:rsid w:val="003B36EA"/>
    <w:rsid w:val="003B380B"/>
    <w:rsid w:val="003B3A85"/>
    <w:rsid w:val="003B3C21"/>
    <w:rsid w:val="003B4772"/>
    <w:rsid w:val="003B4882"/>
    <w:rsid w:val="003B5AB9"/>
    <w:rsid w:val="003C0BEF"/>
    <w:rsid w:val="003C2A95"/>
    <w:rsid w:val="003C6EB9"/>
    <w:rsid w:val="003C7681"/>
    <w:rsid w:val="003C76A5"/>
    <w:rsid w:val="003D128E"/>
    <w:rsid w:val="003D13AC"/>
    <w:rsid w:val="003D16B3"/>
    <w:rsid w:val="003D2643"/>
    <w:rsid w:val="003D3842"/>
    <w:rsid w:val="003D4053"/>
    <w:rsid w:val="003D480A"/>
    <w:rsid w:val="003D4ADA"/>
    <w:rsid w:val="003D5E82"/>
    <w:rsid w:val="003D5EFC"/>
    <w:rsid w:val="003D6B67"/>
    <w:rsid w:val="003D7C4B"/>
    <w:rsid w:val="003E1916"/>
    <w:rsid w:val="003E2181"/>
    <w:rsid w:val="003E229A"/>
    <w:rsid w:val="003E2855"/>
    <w:rsid w:val="003E34F3"/>
    <w:rsid w:val="003E4059"/>
    <w:rsid w:val="003E411B"/>
    <w:rsid w:val="003E45F7"/>
    <w:rsid w:val="003E4919"/>
    <w:rsid w:val="003E4DE2"/>
    <w:rsid w:val="003E4EDD"/>
    <w:rsid w:val="003E4F99"/>
    <w:rsid w:val="003E6231"/>
    <w:rsid w:val="003E6305"/>
    <w:rsid w:val="003E663F"/>
    <w:rsid w:val="003E7915"/>
    <w:rsid w:val="003F1F6C"/>
    <w:rsid w:val="003F278A"/>
    <w:rsid w:val="003F3CA8"/>
    <w:rsid w:val="003F43CC"/>
    <w:rsid w:val="003F48B2"/>
    <w:rsid w:val="003F4D0D"/>
    <w:rsid w:val="003F5447"/>
    <w:rsid w:val="003F57B6"/>
    <w:rsid w:val="003F59DC"/>
    <w:rsid w:val="003F6939"/>
    <w:rsid w:val="003F6E10"/>
    <w:rsid w:val="003F7231"/>
    <w:rsid w:val="003F7DB8"/>
    <w:rsid w:val="003F7F1F"/>
    <w:rsid w:val="00401CAF"/>
    <w:rsid w:val="0040216C"/>
    <w:rsid w:val="00403099"/>
    <w:rsid w:val="0040393C"/>
    <w:rsid w:val="00411EA7"/>
    <w:rsid w:val="00411F9D"/>
    <w:rsid w:val="00412638"/>
    <w:rsid w:val="00413883"/>
    <w:rsid w:val="00413C90"/>
    <w:rsid w:val="00414B45"/>
    <w:rsid w:val="004152A9"/>
    <w:rsid w:val="004156F0"/>
    <w:rsid w:val="004201CB"/>
    <w:rsid w:val="00420925"/>
    <w:rsid w:val="004226C1"/>
    <w:rsid w:val="00422D7E"/>
    <w:rsid w:val="0042343A"/>
    <w:rsid w:val="0042350D"/>
    <w:rsid w:val="004242C7"/>
    <w:rsid w:val="00424DB0"/>
    <w:rsid w:val="00424EDE"/>
    <w:rsid w:val="0042548A"/>
    <w:rsid w:val="004257F3"/>
    <w:rsid w:val="00426338"/>
    <w:rsid w:val="00426E5F"/>
    <w:rsid w:val="00426F6A"/>
    <w:rsid w:val="0042727E"/>
    <w:rsid w:val="00427AB7"/>
    <w:rsid w:val="00427D1D"/>
    <w:rsid w:val="00430175"/>
    <w:rsid w:val="00431257"/>
    <w:rsid w:val="0043244A"/>
    <w:rsid w:val="0043306C"/>
    <w:rsid w:val="00433CC4"/>
    <w:rsid w:val="00433FC1"/>
    <w:rsid w:val="0043410E"/>
    <w:rsid w:val="00434210"/>
    <w:rsid w:val="004353F3"/>
    <w:rsid w:val="004355A9"/>
    <w:rsid w:val="004410BB"/>
    <w:rsid w:val="004412BB"/>
    <w:rsid w:val="00441301"/>
    <w:rsid w:val="00441380"/>
    <w:rsid w:val="004422ED"/>
    <w:rsid w:val="004423CE"/>
    <w:rsid w:val="004424D1"/>
    <w:rsid w:val="004424FF"/>
    <w:rsid w:val="00443730"/>
    <w:rsid w:val="00444614"/>
    <w:rsid w:val="00444B0B"/>
    <w:rsid w:val="00444C07"/>
    <w:rsid w:val="004470B0"/>
    <w:rsid w:val="004475AF"/>
    <w:rsid w:val="00447F5F"/>
    <w:rsid w:val="004503EF"/>
    <w:rsid w:val="0045149C"/>
    <w:rsid w:val="00451952"/>
    <w:rsid w:val="0045205C"/>
    <w:rsid w:val="004522BF"/>
    <w:rsid w:val="004528E5"/>
    <w:rsid w:val="004537D5"/>
    <w:rsid w:val="00456482"/>
    <w:rsid w:val="004604A8"/>
    <w:rsid w:val="0046167B"/>
    <w:rsid w:val="00462187"/>
    <w:rsid w:val="0046271F"/>
    <w:rsid w:val="00462A03"/>
    <w:rsid w:val="00462ED1"/>
    <w:rsid w:val="004631DD"/>
    <w:rsid w:val="00463376"/>
    <w:rsid w:val="00463489"/>
    <w:rsid w:val="00463725"/>
    <w:rsid w:val="004640FA"/>
    <w:rsid w:val="004651C2"/>
    <w:rsid w:val="004664A4"/>
    <w:rsid w:val="004672CE"/>
    <w:rsid w:val="00467386"/>
    <w:rsid w:val="00472C4E"/>
    <w:rsid w:val="00473F1E"/>
    <w:rsid w:val="00474986"/>
    <w:rsid w:val="0047555B"/>
    <w:rsid w:val="004776C6"/>
    <w:rsid w:val="00477713"/>
    <w:rsid w:val="004777F3"/>
    <w:rsid w:val="00477B6F"/>
    <w:rsid w:val="00480EB3"/>
    <w:rsid w:val="00483320"/>
    <w:rsid w:val="00484803"/>
    <w:rsid w:val="0048577E"/>
    <w:rsid w:val="00486786"/>
    <w:rsid w:val="00486C67"/>
    <w:rsid w:val="004870F4"/>
    <w:rsid w:val="00487637"/>
    <w:rsid w:val="00487ECD"/>
    <w:rsid w:val="00490CA1"/>
    <w:rsid w:val="00490F30"/>
    <w:rsid w:val="00492BC1"/>
    <w:rsid w:val="004942BD"/>
    <w:rsid w:val="004943A9"/>
    <w:rsid w:val="004965DB"/>
    <w:rsid w:val="00496875"/>
    <w:rsid w:val="00496982"/>
    <w:rsid w:val="00496BC8"/>
    <w:rsid w:val="00496F5A"/>
    <w:rsid w:val="00497389"/>
    <w:rsid w:val="004A1BF8"/>
    <w:rsid w:val="004A2B36"/>
    <w:rsid w:val="004A2E42"/>
    <w:rsid w:val="004A58E1"/>
    <w:rsid w:val="004A69D7"/>
    <w:rsid w:val="004A6C17"/>
    <w:rsid w:val="004A7783"/>
    <w:rsid w:val="004B0677"/>
    <w:rsid w:val="004B3849"/>
    <w:rsid w:val="004B3A3C"/>
    <w:rsid w:val="004B43A1"/>
    <w:rsid w:val="004B450D"/>
    <w:rsid w:val="004B494B"/>
    <w:rsid w:val="004B6110"/>
    <w:rsid w:val="004B72B9"/>
    <w:rsid w:val="004B7DB6"/>
    <w:rsid w:val="004C21F8"/>
    <w:rsid w:val="004C2740"/>
    <w:rsid w:val="004C283C"/>
    <w:rsid w:val="004C3190"/>
    <w:rsid w:val="004C3A45"/>
    <w:rsid w:val="004C411C"/>
    <w:rsid w:val="004C498C"/>
    <w:rsid w:val="004C5088"/>
    <w:rsid w:val="004C61F1"/>
    <w:rsid w:val="004C651F"/>
    <w:rsid w:val="004C6A85"/>
    <w:rsid w:val="004C6BCE"/>
    <w:rsid w:val="004C77AB"/>
    <w:rsid w:val="004D287D"/>
    <w:rsid w:val="004D402B"/>
    <w:rsid w:val="004D4A08"/>
    <w:rsid w:val="004D5BB4"/>
    <w:rsid w:val="004D70E5"/>
    <w:rsid w:val="004D71D4"/>
    <w:rsid w:val="004D7FDC"/>
    <w:rsid w:val="004E08F2"/>
    <w:rsid w:val="004E09D5"/>
    <w:rsid w:val="004E13D1"/>
    <w:rsid w:val="004E1D0A"/>
    <w:rsid w:val="004E3043"/>
    <w:rsid w:val="004E3A44"/>
    <w:rsid w:val="004E4AF7"/>
    <w:rsid w:val="004E4CE1"/>
    <w:rsid w:val="004E5550"/>
    <w:rsid w:val="004E5773"/>
    <w:rsid w:val="004E66DB"/>
    <w:rsid w:val="004E699F"/>
    <w:rsid w:val="004E72BE"/>
    <w:rsid w:val="004F0422"/>
    <w:rsid w:val="004F0678"/>
    <w:rsid w:val="004F0DE5"/>
    <w:rsid w:val="004F1349"/>
    <w:rsid w:val="004F1597"/>
    <w:rsid w:val="004F16DE"/>
    <w:rsid w:val="004F264F"/>
    <w:rsid w:val="004F26F6"/>
    <w:rsid w:val="004F333B"/>
    <w:rsid w:val="004F36CE"/>
    <w:rsid w:val="004F60E4"/>
    <w:rsid w:val="004F6655"/>
    <w:rsid w:val="005010E7"/>
    <w:rsid w:val="005016EB"/>
    <w:rsid w:val="00501835"/>
    <w:rsid w:val="0050303C"/>
    <w:rsid w:val="00503914"/>
    <w:rsid w:val="005046B7"/>
    <w:rsid w:val="00504A38"/>
    <w:rsid w:val="005055A8"/>
    <w:rsid w:val="005059CF"/>
    <w:rsid w:val="00506444"/>
    <w:rsid w:val="00506461"/>
    <w:rsid w:val="005068EF"/>
    <w:rsid w:val="00507755"/>
    <w:rsid w:val="00510575"/>
    <w:rsid w:val="00510BAC"/>
    <w:rsid w:val="00511796"/>
    <w:rsid w:val="00512B87"/>
    <w:rsid w:val="00513B2F"/>
    <w:rsid w:val="00513C86"/>
    <w:rsid w:val="005164EE"/>
    <w:rsid w:val="005172B7"/>
    <w:rsid w:val="0051738B"/>
    <w:rsid w:val="00517C79"/>
    <w:rsid w:val="005204EA"/>
    <w:rsid w:val="00520511"/>
    <w:rsid w:val="005215CC"/>
    <w:rsid w:val="00522F64"/>
    <w:rsid w:val="0052356A"/>
    <w:rsid w:val="005235EA"/>
    <w:rsid w:val="00524423"/>
    <w:rsid w:val="00524A39"/>
    <w:rsid w:val="00524FB5"/>
    <w:rsid w:val="005250DE"/>
    <w:rsid w:val="005257E8"/>
    <w:rsid w:val="005260FF"/>
    <w:rsid w:val="00527535"/>
    <w:rsid w:val="00531134"/>
    <w:rsid w:val="00531169"/>
    <w:rsid w:val="0053195A"/>
    <w:rsid w:val="005319F1"/>
    <w:rsid w:val="00531FBD"/>
    <w:rsid w:val="00532361"/>
    <w:rsid w:val="0053243C"/>
    <w:rsid w:val="00532F5D"/>
    <w:rsid w:val="00533829"/>
    <w:rsid w:val="005338D2"/>
    <w:rsid w:val="005339F7"/>
    <w:rsid w:val="00533B01"/>
    <w:rsid w:val="00535F89"/>
    <w:rsid w:val="00536A89"/>
    <w:rsid w:val="00536F70"/>
    <w:rsid w:val="005378E8"/>
    <w:rsid w:val="00537CFD"/>
    <w:rsid w:val="00540AD2"/>
    <w:rsid w:val="005430D0"/>
    <w:rsid w:val="0054382F"/>
    <w:rsid w:val="00544270"/>
    <w:rsid w:val="00546F6D"/>
    <w:rsid w:val="005475E3"/>
    <w:rsid w:val="00547A36"/>
    <w:rsid w:val="00550343"/>
    <w:rsid w:val="0055044E"/>
    <w:rsid w:val="00550668"/>
    <w:rsid w:val="0055115A"/>
    <w:rsid w:val="00551293"/>
    <w:rsid w:val="00551C44"/>
    <w:rsid w:val="00551E6C"/>
    <w:rsid w:val="00554197"/>
    <w:rsid w:val="0055559A"/>
    <w:rsid w:val="00555EB3"/>
    <w:rsid w:val="00557329"/>
    <w:rsid w:val="00557DEC"/>
    <w:rsid w:val="00557F4A"/>
    <w:rsid w:val="00560103"/>
    <w:rsid w:val="0056014D"/>
    <w:rsid w:val="00560413"/>
    <w:rsid w:val="00560B46"/>
    <w:rsid w:val="005624E5"/>
    <w:rsid w:val="005625B6"/>
    <w:rsid w:val="00563A15"/>
    <w:rsid w:val="005650AC"/>
    <w:rsid w:val="0056512A"/>
    <w:rsid w:val="005666A8"/>
    <w:rsid w:val="00570799"/>
    <w:rsid w:val="00570EE5"/>
    <w:rsid w:val="00571B07"/>
    <w:rsid w:val="00572131"/>
    <w:rsid w:val="0057230F"/>
    <w:rsid w:val="00572743"/>
    <w:rsid w:val="005737CD"/>
    <w:rsid w:val="00573C84"/>
    <w:rsid w:val="00573E02"/>
    <w:rsid w:val="00573F20"/>
    <w:rsid w:val="00575495"/>
    <w:rsid w:val="00576D3C"/>
    <w:rsid w:val="0057705B"/>
    <w:rsid w:val="00577137"/>
    <w:rsid w:val="005776F3"/>
    <w:rsid w:val="00581324"/>
    <w:rsid w:val="00581890"/>
    <w:rsid w:val="0058191A"/>
    <w:rsid w:val="00582448"/>
    <w:rsid w:val="00584E84"/>
    <w:rsid w:val="005857D4"/>
    <w:rsid w:val="00585862"/>
    <w:rsid w:val="00585E30"/>
    <w:rsid w:val="00587947"/>
    <w:rsid w:val="00587C9D"/>
    <w:rsid w:val="00587CE0"/>
    <w:rsid w:val="005911EF"/>
    <w:rsid w:val="00591F18"/>
    <w:rsid w:val="0059556F"/>
    <w:rsid w:val="005A095F"/>
    <w:rsid w:val="005A1437"/>
    <w:rsid w:val="005A3DAD"/>
    <w:rsid w:val="005A40E1"/>
    <w:rsid w:val="005A43EC"/>
    <w:rsid w:val="005A7355"/>
    <w:rsid w:val="005A7599"/>
    <w:rsid w:val="005A7E7F"/>
    <w:rsid w:val="005B169D"/>
    <w:rsid w:val="005B18A5"/>
    <w:rsid w:val="005B277E"/>
    <w:rsid w:val="005B27F6"/>
    <w:rsid w:val="005B31F0"/>
    <w:rsid w:val="005B619B"/>
    <w:rsid w:val="005B6616"/>
    <w:rsid w:val="005B71A8"/>
    <w:rsid w:val="005B7320"/>
    <w:rsid w:val="005B77C5"/>
    <w:rsid w:val="005B7900"/>
    <w:rsid w:val="005C154A"/>
    <w:rsid w:val="005C19A9"/>
    <w:rsid w:val="005C291E"/>
    <w:rsid w:val="005C2D34"/>
    <w:rsid w:val="005C3B31"/>
    <w:rsid w:val="005C3DA2"/>
    <w:rsid w:val="005C3FCC"/>
    <w:rsid w:val="005C4638"/>
    <w:rsid w:val="005C491D"/>
    <w:rsid w:val="005C518C"/>
    <w:rsid w:val="005C5AC6"/>
    <w:rsid w:val="005C7450"/>
    <w:rsid w:val="005D0CB5"/>
    <w:rsid w:val="005D0EEA"/>
    <w:rsid w:val="005D10FF"/>
    <w:rsid w:val="005D181E"/>
    <w:rsid w:val="005D2023"/>
    <w:rsid w:val="005D205F"/>
    <w:rsid w:val="005D2820"/>
    <w:rsid w:val="005D3044"/>
    <w:rsid w:val="005D3298"/>
    <w:rsid w:val="005D3979"/>
    <w:rsid w:val="005D3B52"/>
    <w:rsid w:val="005D4861"/>
    <w:rsid w:val="005D6B4C"/>
    <w:rsid w:val="005D6D54"/>
    <w:rsid w:val="005D7755"/>
    <w:rsid w:val="005D7D70"/>
    <w:rsid w:val="005D7E89"/>
    <w:rsid w:val="005E0DCB"/>
    <w:rsid w:val="005E0EA6"/>
    <w:rsid w:val="005E18D1"/>
    <w:rsid w:val="005E2428"/>
    <w:rsid w:val="005E2819"/>
    <w:rsid w:val="005E2CBE"/>
    <w:rsid w:val="005E3C93"/>
    <w:rsid w:val="005E443E"/>
    <w:rsid w:val="005E5487"/>
    <w:rsid w:val="005E6CD1"/>
    <w:rsid w:val="005F0F93"/>
    <w:rsid w:val="005F440F"/>
    <w:rsid w:val="005F472F"/>
    <w:rsid w:val="005F5201"/>
    <w:rsid w:val="005F6147"/>
    <w:rsid w:val="005F6535"/>
    <w:rsid w:val="005F6769"/>
    <w:rsid w:val="005F684F"/>
    <w:rsid w:val="005F6CED"/>
    <w:rsid w:val="005F71C4"/>
    <w:rsid w:val="005F72F1"/>
    <w:rsid w:val="005F74E6"/>
    <w:rsid w:val="00600DD3"/>
    <w:rsid w:val="0060246D"/>
    <w:rsid w:val="006037E7"/>
    <w:rsid w:val="0060412D"/>
    <w:rsid w:val="0060432D"/>
    <w:rsid w:val="00604517"/>
    <w:rsid w:val="006069B7"/>
    <w:rsid w:val="00606BDB"/>
    <w:rsid w:val="006076D1"/>
    <w:rsid w:val="00610830"/>
    <w:rsid w:val="006125BB"/>
    <w:rsid w:val="0061268C"/>
    <w:rsid w:val="0061273F"/>
    <w:rsid w:val="00612801"/>
    <w:rsid w:val="00613431"/>
    <w:rsid w:val="00614243"/>
    <w:rsid w:val="00614333"/>
    <w:rsid w:val="00614737"/>
    <w:rsid w:val="006147CE"/>
    <w:rsid w:val="00614BED"/>
    <w:rsid w:val="00614D0D"/>
    <w:rsid w:val="006159DA"/>
    <w:rsid w:val="00617937"/>
    <w:rsid w:val="006201A4"/>
    <w:rsid w:val="00620726"/>
    <w:rsid w:val="00620D8B"/>
    <w:rsid w:val="00621F8D"/>
    <w:rsid w:val="00623996"/>
    <w:rsid w:val="0062466D"/>
    <w:rsid w:val="00627FF3"/>
    <w:rsid w:val="006304F6"/>
    <w:rsid w:val="00630B67"/>
    <w:rsid w:val="00631ADD"/>
    <w:rsid w:val="00631E8B"/>
    <w:rsid w:val="00631FA7"/>
    <w:rsid w:val="00632A1C"/>
    <w:rsid w:val="00633081"/>
    <w:rsid w:val="006341B0"/>
    <w:rsid w:val="0063463D"/>
    <w:rsid w:val="00635C83"/>
    <w:rsid w:val="00635D07"/>
    <w:rsid w:val="006364F4"/>
    <w:rsid w:val="006366D1"/>
    <w:rsid w:val="00636854"/>
    <w:rsid w:val="0063728F"/>
    <w:rsid w:val="00640DF0"/>
    <w:rsid w:val="00640DF2"/>
    <w:rsid w:val="0064111F"/>
    <w:rsid w:val="0064112A"/>
    <w:rsid w:val="006443FB"/>
    <w:rsid w:val="00644A52"/>
    <w:rsid w:val="00644B37"/>
    <w:rsid w:val="006470AE"/>
    <w:rsid w:val="00650548"/>
    <w:rsid w:val="00650CBE"/>
    <w:rsid w:val="006519E5"/>
    <w:rsid w:val="006561A1"/>
    <w:rsid w:val="006568BC"/>
    <w:rsid w:val="00656A2A"/>
    <w:rsid w:val="00656A35"/>
    <w:rsid w:val="006578A9"/>
    <w:rsid w:val="00657F5B"/>
    <w:rsid w:val="00660549"/>
    <w:rsid w:val="006620D0"/>
    <w:rsid w:val="00662495"/>
    <w:rsid w:val="00662648"/>
    <w:rsid w:val="00662D5F"/>
    <w:rsid w:val="00663324"/>
    <w:rsid w:val="006648E0"/>
    <w:rsid w:val="00665EA1"/>
    <w:rsid w:val="0066640B"/>
    <w:rsid w:val="006705F8"/>
    <w:rsid w:val="006708EC"/>
    <w:rsid w:val="006722B1"/>
    <w:rsid w:val="006738DB"/>
    <w:rsid w:val="00673A18"/>
    <w:rsid w:val="00673B49"/>
    <w:rsid w:val="00675D4D"/>
    <w:rsid w:val="00677CDC"/>
    <w:rsid w:val="0068192C"/>
    <w:rsid w:val="00682057"/>
    <w:rsid w:val="00682207"/>
    <w:rsid w:val="006829C7"/>
    <w:rsid w:val="00683DCA"/>
    <w:rsid w:val="006851C7"/>
    <w:rsid w:val="00687B4A"/>
    <w:rsid w:val="00687FD3"/>
    <w:rsid w:val="006900C4"/>
    <w:rsid w:val="00691676"/>
    <w:rsid w:val="00691930"/>
    <w:rsid w:val="00691EBC"/>
    <w:rsid w:val="00691F84"/>
    <w:rsid w:val="00691FD3"/>
    <w:rsid w:val="006929E0"/>
    <w:rsid w:val="006946B7"/>
    <w:rsid w:val="006952E6"/>
    <w:rsid w:val="006955CE"/>
    <w:rsid w:val="00695F9F"/>
    <w:rsid w:val="006A05EC"/>
    <w:rsid w:val="006A1DCA"/>
    <w:rsid w:val="006A2810"/>
    <w:rsid w:val="006A3344"/>
    <w:rsid w:val="006A384B"/>
    <w:rsid w:val="006A3C4F"/>
    <w:rsid w:val="006A50B7"/>
    <w:rsid w:val="006A538B"/>
    <w:rsid w:val="006A5913"/>
    <w:rsid w:val="006A5EE5"/>
    <w:rsid w:val="006A6A8E"/>
    <w:rsid w:val="006B062F"/>
    <w:rsid w:val="006B2F90"/>
    <w:rsid w:val="006B3B6D"/>
    <w:rsid w:val="006B3F56"/>
    <w:rsid w:val="006B4066"/>
    <w:rsid w:val="006B470C"/>
    <w:rsid w:val="006B614A"/>
    <w:rsid w:val="006B61B0"/>
    <w:rsid w:val="006B61F6"/>
    <w:rsid w:val="006B63C2"/>
    <w:rsid w:val="006B671A"/>
    <w:rsid w:val="006B6B76"/>
    <w:rsid w:val="006B7ABA"/>
    <w:rsid w:val="006B7DD0"/>
    <w:rsid w:val="006C029D"/>
    <w:rsid w:val="006C0404"/>
    <w:rsid w:val="006C094E"/>
    <w:rsid w:val="006C15F6"/>
    <w:rsid w:val="006C17D2"/>
    <w:rsid w:val="006C1A21"/>
    <w:rsid w:val="006C441F"/>
    <w:rsid w:val="006C4ABD"/>
    <w:rsid w:val="006C64B5"/>
    <w:rsid w:val="006C7ACC"/>
    <w:rsid w:val="006D0AC4"/>
    <w:rsid w:val="006D113D"/>
    <w:rsid w:val="006D22BC"/>
    <w:rsid w:val="006D2CFE"/>
    <w:rsid w:val="006D2ED5"/>
    <w:rsid w:val="006D3011"/>
    <w:rsid w:val="006D31AD"/>
    <w:rsid w:val="006D37F7"/>
    <w:rsid w:val="006D444E"/>
    <w:rsid w:val="006D4471"/>
    <w:rsid w:val="006D5505"/>
    <w:rsid w:val="006D5819"/>
    <w:rsid w:val="006D6C8C"/>
    <w:rsid w:val="006D6FE2"/>
    <w:rsid w:val="006D766E"/>
    <w:rsid w:val="006E01ED"/>
    <w:rsid w:val="006E0D47"/>
    <w:rsid w:val="006E1FCB"/>
    <w:rsid w:val="006E23D8"/>
    <w:rsid w:val="006E2542"/>
    <w:rsid w:val="006E4482"/>
    <w:rsid w:val="006E70B1"/>
    <w:rsid w:val="006E7F1D"/>
    <w:rsid w:val="006F00D8"/>
    <w:rsid w:val="006F08B2"/>
    <w:rsid w:val="006F0A12"/>
    <w:rsid w:val="006F0DA2"/>
    <w:rsid w:val="006F0DAD"/>
    <w:rsid w:val="006F1B62"/>
    <w:rsid w:val="006F2CE8"/>
    <w:rsid w:val="006F364F"/>
    <w:rsid w:val="006F3855"/>
    <w:rsid w:val="006F603E"/>
    <w:rsid w:val="006F6342"/>
    <w:rsid w:val="006F74BB"/>
    <w:rsid w:val="006F7788"/>
    <w:rsid w:val="006F77E4"/>
    <w:rsid w:val="00700E68"/>
    <w:rsid w:val="007018C7"/>
    <w:rsid w:val="00702286"/>
    <w:rsid w:val="0070240D"/>
    <w:rsid w:val="00702A9B"/>
    <w:rsid w:val="00704720"/>
    <w:rsid w:val="007067AE"/>
    <w:rsid w:val="00706912"/>
    <w:rsid w:val="00707F2F"/>
    <w:rsid w:val="00710513"/>
    <w:rsid w:val="00710AC8"/>
    <w:rsid w:val="00710D6C"/>
    <w:rsid w:val="00711C73"/>
    <w:rsid w:val="007134AA"/>
    <w:rsid w:val="00713AE1"/>
    <w:rsid w:val="00714594"/>
    <w:rsid w:val="00714777"/>
    <w:rsid w:val="00716269"/>
    <w:rsid w:val="00716E1B"/>
    <w:rsid w:val="00722C02"/>
    <w:rsid w:val="007252B3"/>
    <w:rsid w:val="007252E1"/>
    <w:rsid w:val="007262A2"/>
    <w:rsid w:val="007266C8"/>
    <w:rsid w:val="0072754B"/>
    <w:rsid w:val="00727A74"/>
    <w:rsid w:val="0073010A"/>
    <w:rsid w:val="007302CA"/>
    <w:rsid w:val="00730362"/>
    <w:rsid w:val="007303E2"/>
    <w:rsid w:val="00730CD9"/>
    <w:rsid w:val="00730E1E"/>
    <w:rsid w:val="0073152B"/>
    <w:rsid w:val="0073158F"/>
    <w:rsid w:val="0073206B"/>
    <w:rsid w:val="00733C01"/>
    <w:rsid w:val="007343F4"/>
    <w:rsid w:val="007368BB"/>
    <w:rsid w:val="00736CAF"/>
    <w:rsid w:val="00737C99"/>
    <w:rsid w:val="0074048D"/>
    <w:rsid w:val="007419AF"/>
    <w:rsid w:val="00742ECD"/>
    <w:rsid w:val="0074472A"/>
    <w:rsid w:val="00744A04"/>
    <w:rsid w:val="00744C38"/>
    <w:rsid w:val="00745C87"/>
    <w:rsid w:val="00745D6B"/>
    <w:rsid w:val="00746ABA"/>
    <w:rsid w:val="00746F39"/>
    <w:rsid w:val="00747058"/>
    <w:rsid w:val="00750138"/>
    <w:rsid w:val="00750B2D"/>
    <w:rsid w:val="00750CFF"/>
    <w:rsid w:val="007511CD"/>
    <w:rsid w:val="00751BA1"/>
    <w:rsid w:val="00751DC5"/>
    <w:rsid w:val="00752326"/>
    <w:rsid w:val="00752FAD"/>
    <w:rsid w:val="0075311D"/>
    <w:rsid w:val="007537F3"/>
    <w:rsid w:val="007539E1"/>
    <w:rsid w:val="007540A9"/>
    <w:rsid w:val="00755D39"/>
    <w:rsid w:val="0075626D"/>
    <w:rsid w:val="007577F0"/>
    <w:rsid w:val="00757C65"/>
    <w:rsid w:val="00760F74"/>
    <w:rsid w:val="00762964"/>
    <w:rsid w:val="00764273"/>
    <w:rsid w:val="007642A1"/>
    <w:rsid w:val="00764959"/>
    <w:rsid w:val="007658F6"/>
    <w:rsid w:val="00766AEF"/>
    <w:rsid w:val="00766E99"/>
    <w:rsid w:val="007673E0"/>
    <w:rsid w:val="00767FC7"/>
    <w:rsid w:val="007718D0"/>
    <w:rsid w:val="007729D0"/>
    <w:rsid w:val="00773B0E"/>
    <w:rsid w:val="00775954"/>
    <w:rsid w:val="00775F68"/>
    <w:rsid w:val="00776031"/>
    <w:rsid w:val="00776209"/>
    <w:rsid w:val="00776431"/>
    <w:rsid w:val="00777892"/>
    <w:rsid w:val="00777977"/>
    <w:rsid w:val="007805B4"/>
    <w:rsid w:val="00781B8C"/>
    <w:rsid w:val="0078364B"/>
    <w:rsid w:val="0078442D"/>
    <w:rsid w:val="007856D7"/>
    <w:rsid w:val="00785787"/>
    <w:rsid w:val="00786060"/>
    <w:rsid w:val="007867A3"/>
    <w:rsid w:val="00786D1F"/>
    <w:rsid w:val="00787962"/>
    <w:rsid w:val="00787CB0"/>
    <w:rsid w:val="0079023E"/>
    <w:rsid w:val="00790F7A"/>
    <w:rsid w:val="00791F3C"/>
    <w:rsid w:val="00792323"/>
    <w:rsid w:val="00792C1C"/>
    <w:rsid w:val="007934B8"/>
    <w:rsid w:val="00793DAC"/>
    <w:rsid w:val="00793E06"/>
    <w:rsid w:val="00794053"/>
    <w:rsid w:val="007940F8"/>
    <w:rsid w:val="00794AEB"/>
    <w:rsid w:val="00796005"/>
    <w:rsid w:val="00796DB2"/>
    <w:rsid w:val="00796F0A"/>
    <w:rsid w:val="0079748A"/>
    <w:rsid w:val="007A1C3F"/>
    <w:rsid w:val="007A1E5F"/>
    <w:rsid w:val="007A2767"/>
    <w:rsid w:val="007A2BA6"/>
    <w:rsid w:val="007A355E"/>
    <w:rsid w:val="007A3991"/>
    <w:rsid w:val="007A4270"/>
    <w:rsid w:val="007A42CC"/>
    <w:rsid w:val="007A746C"/>
    <w:rsid w:val="007A7F91"/>
    <w:rsid w:val="007B1153"/>
    <w:rsid w:val="007B1B5E"/>
    <w:rsid w:val="007B1C1A"/>
    <w:rsid w:val="007B1D0D"/>
    <w:rsid w:val="007B21E7"/>
    <w:rsid w:val="007B23A2"/>
    <w:rsid w:val="007B2860"/>
    <w:rsid w:val="007B2ED2"/>
    <w:rsid w:val="007B31A8"/>
    <w:rsid w:val="007B332C"/>
    <w:rsid w:val="007B3C77"/>
    <w:rsid w:val="007B5970"/>
    <w:rsid w:val="007B5B88"/>
    <w:rsid w:val="007B62BF"/>
    <w:rsid w:val="007B79D9"/>
    <w:rsid w:val="007B7C7F"/>
    <w:rsid w:val="007B7CA0"/>
    <w:rsid w:val="007C1F12"/>
    <w:rsid w:val="007C23DB"/>
    <w:rsid w:val="007C463F"/>
    <w:rsid w:val="007D034C"/>
    <w:rsid w:val="007D0A7F"/>
    <w:rsid w:val="007D181F"/>
    <w:rsid w:val="007D18FD"/>
    <w:rsid w:val="007D1BA3"/>
    <w:rsid w:val="007D22A3"/>
    <w:rsid w:val="007D363C"/>
    <w:rsid w:val="007D3DE7"/>
    <w:rsid w:val="007D45B9"/>
    <w:rsid w:val="007D5236"/>
    <w:rsid w:val="007D789C"/>
    <w:rsid w:val="007D7AC2"/>
    <w:rsid w:val="007E1279"/>
    <w:rsid w:val="007E2A23"/>
    <w:rsid w:val="007E351B"/>
    <w:rsid w:val="007E414B"/>
    <w:rsid w:val="007E4D32"/>
    <w:rsid w:val="007E4F99"/>
    <w:rsid w:val="007E557D"/>
    <w:rsid w:val="007E6753"/>
    <w:rsid w:val="007E6BD1"/>
    <w:rsid w:val="007E74CA"/>
    <w:rsid w:val="007E7689"/>
    <w:rsid w:val="007E77D1"/>
    <w:rsid w:val="007E796D"/>
    <w:rsid w:val="007F0027"/>
    <w:rsid w:val="007F1430"/>
    <w:rsid w:val="007F35A4"/>
    <w:rsid w:val="007F4868"/>
    <w:rsid w:val="007F4F52"/>
    <w:rsid w:val="007F5708"/>
    <w:rsid w:val="00800584"/>
    <w:rsid w:val="00801139"/>
    <w:rsid w:val="0080202C"/>
    <w:rsid w:val="00802ED3"/>
    <w:rsid w:val="008031CD"/>
    <w:rsid w:val="008031E5"/>
    <w:rsid w:val="00803D23"/>
    <w:rsid w:val="008040A2"/>
    <w:rsid w:val="00804270"/>
    <w:rsid w:val="00805670"/>
    <w:rsid w:val="008056C7"/>
    <w:rsid w:val="00805A41"/>
    <w:rsid w:val="00806B1C"/>
    <w:rsid w:val="00807176"/>
    <w:rsid w:val="00807413"/>
    <w:rsid w:val="00810AEE"/>
    <w:rsid w:val="00810C65"/>
    <w:rsid w:val="00810CDD"/>
    <w:rsid w:val="008125A5"/>
    <w:rsid w:val="00812731"/>
    <w:rsid w:val="0081281D"/>
    <w:rsid w:val="008132A0"/>
    <w:rsid w:val="00815426"/>
    <w:rsid w:val="00815C0C"/>
    <w:rsid w:val="008168FD"/>
    <w:rsid w:val="008205BD"/>
    <w:rsid w:val="00820A34"/>
    <w:rsid w:val="00820BFE"/>
    <w:rsid w:val="00820F6A"/>
    <w:rsid w:val="00821116"/>
    <w:rsid w:val="0082154E"/>
    <w:rsid w:val="00821B96"/>
    <w:rsid w:val="00821C2C"/>
    <w:rsid w:val="008220D7"/>
    <w:rsid w:val="00822B1D"/>
    <w:rsid w:val="00822E49"/>
    <w:rsid w:val="00823767"/>
    <w:rsid w:val="0082461D"/>
    <w:rsid w:val="0082579A"/>
    <w:rsid w:val="00825C10"/>
    <w:rsid w:val="00826D69"/>
    <w:rsid w:val="00826F82"/>
    <w:rsid w:val="008275E2"/>
    <w:rsid w:val="00827E3B"/>
    <w:rsid w:val="00830060"/>
    <w:rsid w:val="008307C7"/>
    <w:rsid w:val="008309A1"/>
    <w:rsid w:val="00831139"/>
    <w:rsid w:val="00831495"/>
    <w:rsid w:val="00831E6B"/>
    <w:rsid w:val="0083310A"/>
    <w:rsid w:val="008337A7"/>
    <w:rsid w:val="008339DF"/>
    <w:rsid w:val="008342E6"/>
    <w:rsid w:val="0083467B"/>
    <w:rsid w:val="00834F76"/>
    <w:rsid w:val="00835207"/>
    <w:rsid w:val="00836431"/>
    <w:rsid w:val="008364C8"/>
    <w:rsid w:val="00836609"/>
    <w:rsid w:val="008374D8"/>
    <w:rsid w:val="00837702"/>
    <w:rsid w:val="00837BC0"/>
    <w:rsid w:val="008403E4"/>
    <w:rsid w:val="008408FB"/>
    <w:rsid w:val="008409F8"/>
    <w:rsid w:val="00841AAE"/>
    <w:rsid w:val="00841E05"/>
    <w:rsid w:val="0084239F"/>
    <w:rsid w:val="008425C8"/>
    <w:rsid w:val="00842A26"/>
    <w:rsid w:val="00843771"/>
    <w:rsid w:val="0084590C"/>
    <w:rsid w:val="00846125"/>
    <w:rsid w:val="008461BF"/>
    <w:rsid w:val="0084659E"/>
    <w:rsid w:val="00846629"/>
    <w:rsid w:val="00847270"/>
    <w:rsid w:val="008501AD"/>
    <w:rsid w:val="008502CF"/>
    <w:rsid w:val="008508D6"/>
    <w:rsid w:val="00850B8F"/>
    <w:rsid w:val="0085174C"/>
    <w:rsid w:val="00854097"/>
    <w:rsid w:val="0085464A"/>
    <w:rsid w:val="00854C62"/>
    <w:rsid w:val="00854E16"/>
    <w:rsid w:val="00856049"/>
    <w:rsid w:val="008573C5"/>
    <w:rsid w:val="00860EA6"/>
    <w:rsid w:val="00860F1F"/>
    <w:rsid w:val="008616F4"/>
    <w:rsid w:val="0086353B"/>
    <w:rsid w:val="00863B3E"/>
    <w:rsid w:val="00864445"/>
    <w:rsid w:val="0086595E"/>
    <w:rsid w:val="00866205"/>
    <w:rsid w:val="00866B3F"/>
    <w:rsid w:val="00870DBB"/>
    <w:rsid w:val="008718F5"/>
    <w:rsid w:val="00871CCF"/>
    <w:rsid w:val="0087275C"/>
    <w:rsid w:val="008729C1"/>
    <w:rsid w:val="00872D4B"/>
    <w:rsid w:val="00872D9B"/>
    <w:rsid w:val="0087323A"/>
    <w:rsid w:val="00873ABA"/>
    <w:rsid w:val="008749C1"/>
    <w:rsid w:val="00874CDB"/>
    <w:rsid w:val="008766B9"/>
    <w:rsid w:val="00876E02"/>
    <w:rsid w:val="0087720A"/>
    <w:rsid w:val="00877EF1"/>
    <w:rsid w:val="008804A2"/>
    <w:rsid w:val="00881917"/>
    <w:rsid w:val="00881E50"/>
    <w:rsid w:val="008830E5"/>
    <w:rsid w:val="00883C0A"/>
    <w:rsid w:val="00887190"/>
    <w:rsid w:val="00887490"/>
    <w:rsid w:val="008874A3"/>
    <w:rsid w:val="008908CE"/>
    <w:rsid w:val="00891C01"/>
    <w:rsid w:val="00891ED4"/>
    <w:rsid w:val="00891F41"/>
    <w:rsid w:val="00892D5E"/>
    <w:rsid w:val="008932A6"/>
    <w:rsid w:val="008933DB"/>
    <w:rsid w:val="008949EB"/>
    <w:rsid w:val="00894DD7"/>
    <w:rsid w:val="00895AA4"/>
    <w:rsid w:val="00897890"/>
    <w:rsid w:val="008978CE"/>
    <w:rsid w:val="00897B70"/>
    <w:rsid w:val="008A05FB"/>
    <w:rsid w:val="008A08B3"/>
    <w:rsid w:val="008A0EC8"/>
    <w:rsid w:val="008A1150"/>
    <w:rsid w:val="008A1FF8"/>
    <w:rsid w:val="008A23E6"/>
    <w:rsid w:val="008A2788"/>
    <w:rsid w:val="008A5B9B"/>
    <w:rsid w:val="008A5C5F"/>
    <w:rsid w:val="008A70A4"/>
    <w:rsid w:val="008A7848"/>
    <w:rsid w:val="008B0157"/>
    <w:rsid w:val="008B021A"/>
    <w:rsid w:val="008B0420"/>
    <w:rsid w:val="008B0CF2"/>
    <w:rsid w:val="008B1B9B"/>
    <w:rsid w:val="008B3052"/>
    <w:rsid w:val="008B3ACB"/>
    <w:rsid w:val="008B439A"/>
    <w:rsid w:val="008B5863"/>
    <w:rsid w:val="008B6523"/>
    <w:rsid w:val="008B7859"/>
    <w:rsid w:val="008C0A1E"/>
    <w:rsid w:val="008C119D"/>
    <w:rsid w:val="008C181D"/>
    <w:rsid w:val="008C1BAC"/>
    <w:rsid w:val="008C1E67"/>
    <w:rsid w:val="008C4E8A"/>
    <w:rsid w:val="008C4E98"/>
    <w:rsid w:val="008C6AAD"/>
    <w:rsid w:val="008C6E5E"/>
    <w:rsid w:val="008D033A"/>
    <w:rsid w:val="008D17B9"/>
    <w:rsid w:val="008D1B25"/>
    <w:rsid w:val="008D32B1"/>
    <w:rsid w:val="008D32B2"/>
    <w:rsid w:val="008D3AD1"/>
    <w:rsid w:val="008D3B98"/>
    <w:rsid w:val="008D43F2"/>
    <w:rsid w:val="008D4413"/>
    <w:rsid w:val="008D488B"/>
    <w:rsid w:val="008D51F1"/>
    <w:rsid w:val="008D79B2"/>
    <w:rsid w:val="008E04C2"/>
    <w:rsid w:val="008E3A84"/>
    <w:rsid w:val="008E4352"/>
    <w:rsid w:val="008E4B1F"/>
    <w:rsid w:val="008E51FD"/>
    <w:rsid w:val="008F3014"/>
    <w:rsid w:val="008F3BCD"/>
    <w:rsid w:val="008F4A94"/>
    <w:rsid w:val="008F56D1"/>
    <w:rsid w:val="008F614D"/>
    <w:rsid w:val="008F68AB"/>
    <w:rsid w:val="008F6B11"/>
    <w:rsid w:val="008F77BF"/>
    <w:rsid w:val="008F77D2"/>
    <w:rsid w:val="009003B2"/>
    <w:rsid w:val="0090051D"/>
    <w:rsid w:val="00900DF3"/>
    <w:rsid w:val="009011A4"/>
    <w:rsid w:val="0090178B"/>
    <w:rsid w:val="00901AFA"/>
    <w:rsid w:val="0090274A"/>
    <w:rsid w:val="00902900"/>
    <w:rsid w:val="00903F89"/>
    <w:rsid w:val="009050D3"/>
    <w:rsid w:val="009052FB"/>
    <w:rsid w:val="00905621"/>
    <w:rsid w:val="00905769"/>
    <w:rsid w:val="009073D4"/>
    <w:rsid w:val="0090786B"/>
    <w:rsid w:val="00910191"/>
    <w:rsid w:val="00910B64"/>
    <w:rsid w:val="00910CB8"/>
    <w:rsid w:val="00910D60"/>
    <w:rsid w:val="00910DD1"/>
    <w:rsid w:val="00911633"/>
    <w:rsid w:val="00911D0A"/>
    <w:rsid w:val="00911DF7"/>
    <w:rsid w:val="00911F19"/>
    <w:rsid w:val="00912551"/>
    <w:rsid w:val="0091257D"/>
    <w:rsid w:val="009137F2"/>
    <w:rsid w:val="00913B1E"/>
    <w:rsid w:val="00913FC8"/>
    <w:rsid w:val="009142ED"/>
    <w:rsid w:val="00915814"/>
    <w:rsid w:val="00920C32"/>
    <w:rsid w:val="00920D25"/>
    <w:rsid w:val="0092151C"/>
    <w:rsid w:val="0092190B"/>
    <w:rsid w:val="0092246C"/>
    <w:rsid w:val="00923850"/>
    <w:rsid w:val="00925230"/>
    <w:rsid w:val="009253A1"/>
    <w:rsid w:val="00925AEE"/>
    <w:rsid w:val="00927C5C"/>
    <w:rsid w:val="00927EE7"/>
    <w:rsid w:val="00931261"/>
    <w:rsid w:val="0093195E"/>
    <w:rsid w:val="00931AFC"/>
    <w:rsid w:val="009331ED"/>
    <w:rsid w:val="00933656"/>
    <w:rsid w:val="00933829"/>
    <w:rsid w:val="00934173"/>
    <w:rsid w:val="00936C44"/>
    <w:rsid w:val="0094062B"/>
    <w:rsid w:val="009417EC"/>
    <w:rsid w:val="00941B32"/>
    <w:rsid w:val="0094286E"/>
    <w:rsid w:val="00942A09"/>
    <w:rsid w:val="00942AFF"/>
    <w:rsid w:val="00943F76"/>
    <w:rsid w:val="00945347"/>
    <w:rsid w:val="00945B2C"/>
    <w:rsid w:val="009475C6"/>
    <w:rsid w:val="00947B41"/>
    <w:rsid w:val="009530B2"/>
    <w:rsid w:val="00953BBF"/>
    <w:rsid w:val="00954D42"/>
    <w:rsid w:val="00955180"/>
    <w:rsid w:val="009555BC"/>
    <w:rsid w:val="0095697C"/>
    <w:rsid w:val="00957C70"/>
    <w:rsid w:val="00960E64"/>
    <w:rsid w:val="009627B0"/>
    <w:rsid w:val="009636FF"/>
    <w:rsid w:val="009641AC"/>
    <w:rsid w:val="00965473"/>
    <w:rsid w:val="00965B35"/>
    <w:rsid w:val="00966772"/>
    <w:rsid w:val="00967746"/>
    <w:rsid w:val="00970BE0"/>
    <w:rsid w:val="0097162B"/>
    <w:rsid w:val="009762F7"/>
    <w:rsid w:val="009763E4"/>
    <w:rsid w:val="009772CB"/>
    <w:rsid w:val="00980C02"/>
    <w:rsid w:val="00981E8E"/>
    <w:rsid w:val="009821A9"/>
    <w:rsid w:val="0098262E"/>
    <w:rsid w:val="00984033"/>
    <w:rsid w:val="00984461"/>
    <w:rsid w:val="009848D6"/>
    <w:rsid w:val="00986228"/>
    <w:rsid w:val="009870DC"/>
    <w:rsid w:val="0098711E"/>
    <w:rsid w:val="009908A8"/>
    <w:rsid w:val="009909EF"/>
    <w:rsid w:val="00990AD7"/>
    <w:rsid w:val="00990F5D"/>
    <w:rsid w:val="009934A1"/>
    <w:rsid w:val="0099389E"/>
    <w:rsid w:val="00993D62"/>
    <w:rsid w:val="00994404"/>
    <w:rsid w:val="009946AF"/>
    <w:rsid w:val="00994CA3"/>
    <w:rsid w:val="00997147"/>
    <w:rsid w:val="00997292"/>
    <w:rsid w:val="0099787C"/>
    <w:rsid w:val="009A2961"/>
    <w:rsid w:val="009A34EC"/>
    <w:rsid w:val="009A353D"/>
    <w:rsid w:val="009A421D"/>
    <w:rsid w:val="009A4F27"/>
    <w:rsid w:val="009A57F2"/>
    <w:rsid w:val="009A6108"/>
    <w:rsid w:val="009B019A"/>
    <w:rsid w:val="009B0B96"/>
    <w:rsid w:val="009B1106"/>
    <w:rsid w:val="009B1C5B"/>
    <w:rsid w:val="009B2126"/>
    <w:rsid w:val="009B3F1A"/>
    <w:rsid w:val="009B49DF"/>
    <w:rsid w:val="009B5019"/>
    <w:rsid w:val="009B6B3D"/>
    <w:rsid w:val="009B6CE6"/>
    <w:rsid w:val="009B770C"/>
    <w:rsid w:val="009B7C51"/>
    <w:rsid w:val="009C06B6"/>
    <w:rsid w:val="009C07BC"/>
    <w:rsid w:val="009C2B82"/>
    <w:rsid w:val="009C3465"/>
    <w:rsid w:val="009C3DDD"/>
    <w:rsid w:val="009C4DD4"/>
    <w:rsid w:val="009C5661"/>
    <w:rsid w:val="009C5E24"/>
    <w:rsid w:val="009C644B"/>
    <w:rsid w:val="009C6D1D"/>
    <w:rsid w:val="009C7240"/>
    <w:rsid w:val="009C72CF"/>
    <w:rsid w:val="009C76B9"/>
    <w:rsid w:val="009D0A55"/>
    <w:rsid w:val="009D0B27"/>
    <w:rsid w:val="009D0F3A"/>
    <w:rsid w:val="009D1A79"/>
    <w:rsid w:val="009D1F84"/>
    <w:rsid w:val="009D280C"/>
    <w:rsid w:val="009D34AD"/>
    <w:rsid w:val="009D3918"/>
    <w:rsid w:val="009D40E1"/>
    <w:rsid w:val="009D61AF"/>
    <w:rsid w:val="009D6699"/>
    <w:rsid w:val="009D7140"/>
    <w:rsid w:val="009D7BAD"/>
    <w:rsid w:val="009E02A3"/>
    <w:rsid w:val="009E0C22"/>
    <w:rsid w:val="009E115D"/>
    <w:rsid w:val="009E43F4"/>
    <w:rsid w:val="009E4AB7"/>
    <w:rsid w:val="009E5209"/>
    <w:rsid w:val="009E5CCC"/>
    <w:rsid w:val="009E5E34"/>
    <w:rsid w:val="009E6808"/>
    <w:rsid w:val="009E68F5"/>
    <w:rsid w:val="009E6E45"/>
    <w:rsid w:val="009E7842"/>
    <w:rsid w:val="009F200C"/>
    <w:rsid w:val="009F27A0"/>
    <w:rsid w:val="009F2AFA"/>
    <w:rsid w:val="009F2FB2"/>
    <w:rsid w:val="009F4320"/>
    <w:rsid w:val="009F4DA1"/>
    <w:rsid w:val="009F58B7"/>
    <w:rsid w:val="009F5DDF"/>
    <w:rsid w:val="009F6E60"/>
    <w:rsid w:val="00A00630"/>
    <w:rsid w:val="00A00C97"/>
    <w:rsid w:val="00A0372B"/>
    <w:rsid w:val="00A03919"/>
    <w:rsid w:val="00A03A3C"/>
    <w:rsid w:val="00A054C9"/>
    <w:rsid w:val="00A05864"/>
    <w:rsid w:val="00A067EB"/>
    <w:rsid w:val="00A06B37"/>
    <w:rsid w:val="00A07111"/>
    <w:rsid w:val="00A107F3"/>
    <w:rsid w:val="00A1091F"/>
    <w:rsid w:val="00A11174"/>
    <w:rsid w:val="00A11649"/>
    <w:rsid w:val="00A1197A"/>
    <w:rsid w:val="00A11DCA"/>
    <w:rsid w:val="00A13385"/>
    <w:rsid w:val="00A13D78"/>
    <w:rsid w:val="00A1463F"/>
    <w:rsid w:val="00A14A9A"/>
    <w:rsid w:val="00A14E8D"/>
    <w:rsid w:val="00A163A9"/>
    <w:rsid w:val="00A171DD"/>
    <w:rsid w:val="00A218F8"/>
    <w:rsid w:val="00A22174"/>
    <w:rsid w:val="00A22681"/>
    <w:rsid w:val="00A22A66"/>
    <w:rsid w:val="00A24775"/>
    <w:rsid w:val="00A24C92"/>
    <w:rsid w:val="00A2710A"/>
    <w:rsid w:val="00A302B2"/>
    <w:rsid w:val="00A30521"/>
    <w:rsid w:val="00A310D2"/>
    <w:rsid w:val="00A31810"/>
    <w:rsid w:val="00A31C4B"/>
    <w:rsid w:val="00A35B08"/>
    <w:rsid w:val="00A35F6B"/>
    <w:rsid w:val="00A36169"/>
    <w:rsid w:val="00A36532"/>
    <w:rsid w:val="00A3686C"/>
    <w:rsid w:val="00A37270"/>
    <w:rsid w:val="00A4012C"/>
    <w:rsid w:val="00A4034C"/>
    <w:rsid w:val="00A412E1"/>
    <w:rsid w:val="00A4180C"/>
    <w:rsid w:val="00A41C78"/>
    <w:rsid w:val="00A4220A"/>
    <w:rsid w:val="00A42685"/>
    <w:rsid w:val="00A44494"/>
    <w:rsid w:val="00A501AA"/>
    <w:rsid w:val="00A51516"/>
    <w:rsid w:val="00A5164D"/>
    <w:rsid w:val="00A53E3F"/>
    <w:rsid w:val="00A5476F"/>
    <w:rsid w:val="00A55FCC"/>
    <w:rsid w:val="00A60741"/>
    <w:rsid w:val="00A63669"/>
    <w:rsid w:val="00A64DB3"/>
    <w:rsid w:val="00A64DC5"/>
    <w:rsid w:val="00A6578C"/>
    <w:rsid w:val="00A65F6E"/>
    <w:rsid w:val="00A6605D"/>
    <w:rsid w:val="00A660BB"/>
    <w:rsid w:val="00A6779C"/>
    <w:rsid w:val="00A723E3"/>
    <w:rsid w:val="00A729EB"/>
    <w:rsid w:val="00A7301B"/>
    <w:rsid w:val="00A747D6"/>
    <w:rsid w:val="00A7615E"/>
    <w:rsid w:val="00A76D82"/>
    <w:rsid w:val="00A772F3"/>
    <w:rsid w:val="00A77A1C"/>
    <w:rsid w:val="00A77F25"/>
    <w:rsid w:val="00A81012"/>
    <w:rsid w:val="00A81EBF"/>
    <w:rsid w:val="00A81F64"/>
    <w:rsid w:val="00A824F5"/>
    <w:rsid w:val="00A83176"/>
    <w:rsid w:val="00A8328A"/>
    <w:rsid w:val="00A8559B"/>
    <w:rsid w:val="00A86944"/>
    <w:rsid w:val="00A8695D"/>
    <w:rsid w:val="00A87262"/>
    <w:rsid w:val="00A87B1E"/>
    <w:rsid w:val="00A90D8F"/>
    <w:rsid w:val="00A91C39"/>
    <w:rsid w:val="00A93384"/>
    <w:rsid w:val="00A9382C"/>
    <w:rsid w:val="00A93CEC"/>
    <w:rsid w:val="00A941D8"/>
    <w:rsid w:val="00A952D3"/>
    <w:rsid w:val="00A95D68"/>
    <w:rsid w:val="00A95ED4"/>
    <w:rsid w:val="00A96686"/>
    <w:rsid w:val="00A97794"/>
    <w:rsid w:val="00A977A3"/>
    <w:rsid w:val="00AA05E0"/>
    <w:rsid w:val="00AA0797"/>
    <w:rsid w:val="00AA125B"/>
    <w:rsid w:val="00AA14A5"/>
    <w:rsid w:val="00AA19C7"/>
    <w:rsid w:val="00AA1F6A"/>
    <w:rsid w:val="00AA3D6E"/>
    <w:rsid w:val="00AA4346"/>
    <w:rsid w:val="00AA582F"/>
    <w:rsid w:val="00AA61C4"/>
    <w:rsid w:val="00AA6D57"/>
    <w:rsid w:val="00AA6EFF"/>
    <w:rsid w:val="00AA73E7"/>
    <w:rsid w:val="00AA74F7"/>
    <w:rsid w:val="00AB06B1"/>
    <w:rsid w:val="00AB24ED"/>
    <w:rsid w:val="00AB2C1C"/>
    <w:rsid w:val="00AB2E05"/>
    <w:rsid w:val="00AB2F66"/>
    <w:rsid w:val="00AB3328"/>
    <w:rsid w:val="00AB59C7"/>
    <w:rsid w:val="00AB60C9"/>
    <w:rsid w:val="00AC07DA"/>
    <w:rsid w:val="00AC2FCA"/>
    <w:rsid w:val="00AC315D"/>
    <w:rsid w:val="00AC3392"/>
    <w:rsid w:val="00AC4007"/>
    <w:rsid w:val="00AC430C"/>
    <w:rsid w:val="00AC4387"/>
    <w:rsid w:val="00AC4B2E"/>
    <w:rsid w:val="00AC5084"/>
    <w:rsid w:val="00AC5763"/>
    <w:rsid w:val="00AC5C46"/>
    <w:rsid w:val="00AC614D"/>
    <w:rsid w:val="00AC6762"/>
    <w:rsid w:val="00AC7266"/>
    <w:rsid w:val="00AC7310"/>
    <w:rsid w:val="00AD36DE"/>
    <w:rsid w:val="00AD389A"/>
    <w:rsid w:val="00AD66B3"/>
    <w:rsid w:val="00AD67E8"/>
    <w:rsid w:val="00AD7287"/>
    <w:rsid w:val="00AE1497"/>
    <w:rsid w:val="00AE1BE0"/>
    <w:rsid w:val="00AE1E77"/>
    <w:rsid w:val="00AE209D"/>
    <w:rsid w:val="00AE2428"/>
    <w:rsid w:val="00AE29CF"/>
    <w:rsid w:val="00AE3B63"/>
    <w:rsid w:val="00AE43BD"/>
    <w:rsid w:val="00AE4CB5"/>
    <w:rsid w:val="00AE4DDD"/>
    <w:rsid w:val="00AE521A"/>
    <w:rsid w:val="00AE64E0"/>
    <w:rsid w:val="00AE6630"/>
    <w:rsid w:val="00AE7629"/>
    <w:rsid w:val="00AE7E33"/>
    <w:rsid w:val="00AE7F00"/>
    <w:rsid w:val="00AF0023"/>
    <w:rsid w:val="00AF03D3"/>
    <w:rsid w:val="00AF105F"/>
    <w:rsid w:val="00AF1CD8"/>
    <w:rsid w:val="00AF2FC9"/>
    <w:rsid w:val="00AF3042"/>
    <w:rsid w:val="00AF5FEC"/>
    <w:rsid w:val="00AF7319"/>
    <w:rsid w:val="00B00154"/>
    <w:rsid w:val="00B02073"/>
    <w:rsid w:val="00B034BB"/>
    <w:rsid w:val="00B0415C"/>
    <w:rsid w:val="00B04ABB"/>
    <w:rsid w:val="00B04ACF"/>
    <w:rsid w:val="00B04D80"/>
    <w:rsid w:val="00B04EB5"/>
    <w:rsid w:val="00B05199"/>
    <w:rsid w:val="00B055DD"/>
    <w:rsid w:val="00B058CE"/>
    <w:rsid w:val="00B07F66"/>
    <w:rsid w:val="00B111AA"/>
    <w:rsid w:val="00B11F21"/>
    <w:rsid w:val="00B13230"/>
    <w:rsid w:val="00B13D2B"/>
    <w:rsid w:val="00B14E3D"/>
    <w:rsid w:val="00B16E7D"/>
    <w:rsid w:val="00B176B3"/>
    <w:rsid w:val="00B2135E"/>
    <w:rsid w:val="00B22391"/>
    <w:rsid w:val="00B2252B"/>
    <w:rsid w:val="00B2263C"/>
    <w:rsid w:val="00B22854"/>
    <w:rsid w:val="00B251E9"/>
    <w:rsid w:val="00B2681D"/>
    <w:rsid w:val="00B26963"/>
    <w:rsid w:val="00B2754F"/>
    <w:rsid w:val="00B278EC"/>
    <w:rsid w:val="00B27B7D"/>
    <w:rsid w:val="00B30D89"/>
    <w:rsid w:val="00B321D5"/>
    <w:rsid w:val="00B3290A"/>
    <w:rsid w:val="00B3318C"/>
    <w:rsid w:val="00B33453"/>
    <w:rsid w:val="00B33942"/>
    <w:rsid w:val="00B35272"/>
    <w:rsid w:val="00B377C4"/>
    <w:rsid w:val="00B40211"/>
    <w:rsid w:val="00B40314"/>
    <w:rsid w:val="00B4234C"/>
    <w:rsid w:val="00B42C10"/>
    <w:rsid w:val="00B446D5"/>
    <w:rsid w:val="00B44996"/>
    <w:rsid w:val="00B44B22"/>
    <w:rsid w:val="00B45262"/>
    <w:rsid w:val="00B4545A"/>
    <w:rsid w:val="00B45AD9"/>
    <w:rsid w:val="00B45B06"/>
    <w:rsid w:val="00B45D4B"/>
    <w:rsid w:val="00B460E8"/>
    <w:rsid w:val="00B46CCD"/>
    <w:rsid w:val="00B4700B"/>
    <w:rsid w:val="00B4772A"/>
    <w:rsid w:val="00B47A94"/>
    <w:rsid w:val="00B50F97"/>
    <w:rsid w:val="00B51E33"/>
    <w:rsid w:val="00B52054"/>
    <w:rsid w:val="00B53397"/>
    <w:rsid w:val="00B5360A"/>
    <w:rsid w:val="00B53F7C"/>
    <w:rsid w:val="00B54914"/>
    <w:rsid w:val="00B54F44"/>
    <w:rsid w:val="00B54F7D"/>
    <w:rsid w:val="00B5554B"/>
    <w:rsid w:val="00B55A10"/>
    <w:rsid w:val="00B56907"/>
    <w:rsid w:val="00B572A3"/>
    <w:rsid w:val="00B57781"/>
    <w:rsid w:val="00B62697"/>
    <w:rsid w:val="00B633AB"/>
    <w:rsid w:val="00B6366A"/>
    <w:rsid w:val="00B6395B"/>
    <w:rsid w:val="00B64132"/>
    <w:rsid w:val="00B64ABB"/>
    <w:rsid w:val="00B65ABB"/>
    <w:rsid w:val="00B6647E"/>
    <w:rsid w:val="00B66D1E"/>
    <w:rsid w:val="00B67F11"/>
    <w:rsid w:val="00B7083D"/>
    <w:rsid w:val="00B71D93"/>
    <w:rsid w:val="00B7489A"/>
    <w:rsid w:val="00B74B4C"/>
    <w:rsid w:val="00B74C0C"/>
    <w:rsid w:val="00B75277"/>
    <w:rsid w:val="00B753FD"/>
    <w:rsid w:val="00B75746"/>
    <w:rsid w:val="00B76547"/>
    <w:rsid w:val="00B7681F"/>
    <w:rsid w:val="00B774D5"/>
    <w:rsid w:val="00B7769E"/>
    <w:rsid w:val="00B80012"/>
    <w:rsid w:val="00B8065B"/>
    <w:rsid w:val="00B8187A"/>
    <w:rsid w:val="00B824E1"/>
    <w:rsid w:val="00B8328C"/>
    <w:rsid w:val="00B83296"/>
    <w:rsid w:val="00B83A31"/>
    <w:rsid w:val="00B83FB2"/>
    <w:rsid w:val="00B8435A"/>
    <w:rsid w:val="00B84A94"/>
    <w:rsid w:val="00B851C1"/>
    <w:rsid w:val="00B85422"/>
    <w:rsid w:val="00B85938"/>
    <w:rsid w:val="00B85BD8"/>
    <w:rsid w:val="00B85D67"/>
    <w:rsid w:val="00B85EF3"/>
    <w:rsid w:val="00B90171"/>
    <w:rsid w:val="00B91470"/>
    <w:rsid w:val="00B9160B"/>
    <w:rsid w:val="00B91D4D"/>
    <w:rsid w:val="00B92026"/>
    <w:rsid w:val="00B9207F"/>
    <w:rsid w:val="00B9336F"/>
    <w:rsid w:val="00B942DE"/>
    <w:rsid w:val="00B942E4"/>
    <w:rsid w:val="00B95494"/>
    <w:rsid w:val="00B95DBC"/>
    <w:rsid w:val="00B97675"/>
    <w:rsid w:val="00BA2913"/>
    <w:rsid w:val="00BA2DD7"/>
    <w:rsid w:val="00BA39EC"/>
    <w:rsid w:val="00BA4942"/>
    <w:rsid w:val="00BA5152"/>
    <w:rsid w:val="00BA553D"/>
    <w:rsid w:val="00BA62A5"/>
    <w:rsid w:val="00BB0C2C"/>
    <w:rsid w:val="00BB3718"/>
    <w:rsid w:val="00BB4E76"/>
    <w:rsid w:val="00BB61FE"/>
    <w:rsid w:val="00BB73BD"/>
    <w:rsid w:val="00BB7634"/>
    <w:rsid w:val="00BB7D7C"/>
    <w:rsid w:val="00BB7F6C"/>
    <w:rsid w:val="00BC0119"/>
    <w:rsid w:val="00BC0CFD"/>
    <w:rsid w:val="00BC0FE5"/>
    <w:rsid w:val="00BC240A"/>
    <w:rsid w:val="00BC3562"/>
    <w:rsid w:val="00BC3C92"/>
    <w:rsid w:val="00BC5353"/>
    <w:rsid w:val="00BC57D0"/>
    <w:rsid w:val="00BC5B88"/>
    <w:rsid w:val="00BC6BF4"/>
    <w:rsid w:val="00BC7133"/>
    <w:rsid w:val="00BC7CDE"/>
    <w:rsid w:val="00BD03F4"/>
    <w:rsid w:val="00BD0CE9"/>
    <w:rsid w:val="00BD1148"/>
    <w:rsid w:val="00BD1637"/>
    <w:rsid w:val="00BD218E"/>
    <w:rsid w:val="00BD23F3"/>
    <w:rsid w:val="00BD29C2"/>
    <w:rsid w:val="00BD2C77"/>
    <w:rsid w:val="00BD2FFA"/>
    <w:rsid w:val="00BD3AD3"/>
    <w:rsid w:val="00BD5050"/>
    <w:rsid w:val="00BD6EE7"/>
    <w:rsid w:val="00BD7C8B"/>
    <w:rsid w:val="00BD7DDB"/>
    <w:rsid w:val="00BE0124"/>
    <w:rsid w:val="00BE11BE"/>
    <w:rsid w:val="00BE1483"/>
    <w:rsid w:val="00BE4608"/>
    <w:rsid w:val="00BE47F0"/>
    <w:rsid w:val="00BE4981"/>
    <w:rsid w:val="00BE4A19"/>
    <w:rsid w:val="00BE57EF"/>
    <w:rsid w:val="00BE5DF0"/>
    <w:rsid w:val="00BE6050"/>
    <w:rsid w:val="00BE67E4"/>
    <w:rsid w:val="00BE7463"/>
    <w:rsid w:val="00BE7508"/>
    <w:rsid w:val="00BE789F"/>
    <w:rsid w:val="00BE7B22"/>
    <w:rsid w:val="00BE7EA5"/>
    <w:rsid w:val="00BF0C87"/>
    <w:rsid w:val="00BF2239"/>
    <w:rsid w:val="00BF2288"/>
    <w:rsid w:val="00BF2B77"/>
    <w:rsid w:val="00BF45B6"/>
    <w:rsid w:val="00BF7166"/>
    <w:rsid w:val="00BF776F"/>
    <w:rsid w:val="00BF7AD5"/>
    <w:rsid w:val="00C00342"/>
    <w:rsid w:val="00C0233A"/>
    <w:rsid w:val="00C04308"/>
    <w:rsid w:val="00C051B3"/>
    <w:rsid w:val="00C0545C"/>
    <w:rsid w:val="00C05E03"/>
    <w:rsid w:val="00C06CBE"/>
    <w:rsid w:val="00C070AF"/>
    <w:rsid w:val="00C104EA"/>
    <w:rsid w:val="00C12CA0"/>
    <w:rsid w:val="00C12D98"/>
    <w:rsid w:val="00C140CD"/>
    <w:rsid w:val="00C1466F"/>
    <w:rsid w:val="00C15460"/>
    <w:rsid w:val="00C155B5"/>
    <w:rsid w:val="00C15C57"/>
    <w:rsid w:val="00C16325"/>
    <w:rsid w:val="00C168BD"/>
    <w:rsid w:val="00C200EB"/>
    <w:rsid w:val="00C224D4"/>
    <w:rsid w:val="00C22BD2"/>
    <w:rsid w:val="00C22ECA"/>
    <w:rsid w:val="00C2372D"/>
    <w:rsid w:val="00C23A24"/>
    <w:rsid w:val="00C23C47"/>
    <w:rsid w:val="00C24193"/>
    <w:rsid w:val="00C24787"/>
    <w:rsid w:val="00C25E87"/>
    <w:rsid w:val="00C26279"/>
    <w:rsid w:val="00C262DE"/>
    <w:rsid w:val="00C26CE5"/>
    <w:rsid w:val="00C26FA2"/>
    <w:rsid w:val="00C30274"/>
    <w:rsid w:val="00C30D77"/>
    <w:rsid w:val="00C316A4"/>
    <w:rsid w:val="00C31E96"/>
    <w:rsid w:val="00C34F48"/>
    <w:rsid w:val="00C34FD4"/>
    <w:rsid w:val="00C35871"/>
    <w:rsid w:val="00C41D54"/>
    <w:rsid w:val="00C42622"/>
    <w:rsid w:val="00C4274F"/>
    <w:rsid w:val="00C434BE"/>
    <w:rsid w:val="00C448E7"/>
    <w:rsid w:val="00C44F38"/>
    <w:rsid w:val="00C45817"/>
    <w:rsid w:val="00C46066"/>
    <w:rsid w:val="00C46909"/>
    <w:rsid w:val="00C469E9"/>
    <w:rsid w:val="00C46BEE"/>
    <w:rsid w:val="00C46C74"/>
    <w:rsid w:val="00C50918"/>
    <w:rsid w:val="00C50EFC"/>
    <w:rsid w:val="00C51A6A"/>
    <w:rsid w:val="00C51BA6"/>
    <w:rsid w:val="00C52325"/>
    <w:rsid w:val="00C52547"/>
    <w:rsid w:val="00C52758"/>
    <w:rsid w:val="00C53FA5"/>
    <w:rsid w:val="00C541C3"/>
    <w:rsid w:val="00C54ED5"/>
    <w:rsid w:val="00C554E3"/>
    <w:rsid w:val="00C55ED2"/>
    <w:rsid w:val="00C562D9"/>
    <w:rsid w:val="00C564DA"/>
    <w:rsid w:val="00C57866"/>
    <w:rsid w:val="00C57A62"/>
    <w:rsid w:val="00C57CE5"/>
    <w:rsid w:val="00C6016B"/>
    <w:rsid w:val="00C60C3A"/>
    <w:rsid w:val="00C618EB"/>
    <w:rsid w:val="00C622FA"/>
    <w:rsid w:val="00C63CF5"/>
    <w:rsid w:val="00C63DFC"/>
    <w:rsid w:val="00C650D4"/>
    <w:rsid w:val="00C665FC"/>
    <w:rsid w:val="00C66F22"/>
    <w:rsid w:val="00C66F71"/>
    <w:rsid w:val="00C67A44"/>
    <w:rsid w:val="00C67D21"/>
    <w:rsid w:val="00C704EF"/>
    <w:rsid w:val="00C7377A"/>
    <w:rsid w:val="00C7566D"/>
    <w:rsid w:val="00C75E70"/>
    <w:rsid w:val="00C7652C"/>
    <w:rsid w:val="00C77AD7"/>
    <w:rsid w:val="00C81451"/>
    <w:rsid w:val="00C8197B"/>
    <w:rsid w:val="00C82ED1"/>
    <w:rsid w:val="00C82EF7"/>
    <w:rsid w:val="00C82FEC"/>
    <w:rsid w:val="00C83B15"/>
    <w:rsid w:val="00C86D04"/>
    <w:rsid w:val="00C86E64"/>
    <w:rsid w:val="00C87600"/>
    <w:rsid w:val="00C87925"/>
    <w:rsid w:val="00C87F05"/>
    <w:rsid w:val="00C90249"/>
    <w:rsid w:val="00C912AA"/>
    <w:rsid w:val="00C9175A"/>
    <w:rsid w:val="00C95D7F"/>
    <w:rsid w:val="00C96032"/>
    <w:rsid w:val="00C963E7"/>
    <w:rsid w:val="00C96C1E"/>
    <w:rsid w:val="00C974AD"/>
    <w:rsid w:val="00C97AE5"/>
    <w:rsid w:val="00CA4658"/>
    <w:rsid w:val="00CA549F"/>
    <w:rsid w:val="00CA5592"/>
    <w:rsid w:val="00CA6076"/>
    <w:rsid w:val="00CA65FA"/>
    <w:rsid w:val="00CA6741"/>
    <w:rsid w:val="00CA6A15"/>
    <w:rsid w:val="00CA6B74"/>
    <w:rsid w:val="00CA6D38"/>
    <w:rsid w:val="00CB0DE9"/>
    <w:rsid w:val="00CB1197"/>
    <w:rsid w:val="00CB14FC"/>
    <w:rsid w:val="00CB33D2"/>
    <w:rsid w:val="00CB3BE1"/>
    <w:rsid w:val="00CB63A3"/>
    <w:rsid w:val="00CB6D0D"/>
    <w:rsid w:val="00CB6D7C"/>
    <w:rsid w:val="00CB7A63"/>
    <w:rsid w:val="00CC12E1"/>
    <w:rsid w:val="00CC12F4"/>
    <w:rsid w:val="00CC1D9F"/>
    <w:rsid w:val="00CC23D9"/>
    <w:rsid w:val="00CC24CE"/>
    <w:rsid w:val="00CC257A"/>
    <w:rsid w:val="00CC3562"/>
    <w:rsid w:val="00CC512E"/>
    <w:rsid w:val="00CC6891"/>
    <w:rsid w:val="00CC6CE5"/>
    <w:rsid w:val="00CC75BF"/>
    <w:rsid w:val="00CC7EE3"/>
    <w:rsid w:val="00CC7F59"/>
    <w:rsid w:val="00CD1909"/>
    <w:rsid w:val="00CD22C2"/>
    <w:rsid w:val="00CD2615"/>
    <w:rsid w:val="00CD3EBC"/>
    <w:rsid w:val="00CD5AAB"/>
    <w:rsid w:val="00CD6476"/>
    <w:rsid w:val="00CD651B"/>
    <w:rsid w:val="00CE0A0B"/>
    <w:rsid w:val="00CE25EC"/>
    <w:rsid w:val="00CE2B57"/>
    <w:rsid w:val="00CE2C77"/>
    <w:rsid w:val="00CE3FB2"/>
    <w:rsid w:val="00CE4415"/>
    <w:rsid w:val="00CE4457"/>
    <w:rsid w:val="00CE5CBE"/>
    <w:rsid w:val="00CE610A"/>
    <w:rsid w:val="00CE7160"/>
    <w:rsid w:val="00CE7D5E"/>
    <w:rsid w:val="00CE7DA6"/>
    <w:rsid w:val="00CF0B46"/>
    <w:rsid w:val="00CF195B"/>
    <w:rsid w:val="00CF1C59"/>
    <w:rsid w:val="00CF2581"/>
    <w:rsid w:val="00CF2E92"/>
    <w:rsid w:val="00CF3968"/>
    <w:rsid w:val="00CF3A70"/>
    <w:rsid w:val="00CF4C93"/>
    <w:rsid w:val="00CF51AD"/>
    <w:rsid w:val="00CF51CB"/>
    <w:rsid w:val="00CF660A"/>
    <w:rsid w:val="00CF73B5"/>
    <w:rsid w:val="00CF7BD5"/>
    <w:rsid w:val="00D00F79"/>
    <w:rsid w:val="00D01A67"/>
    <w:rsid w:val="00D03293"/>
    <w:rsid w:val="00D03504"/>
    <w:rsid w:val="00D03514"/>
    <w:rsid w:val="00D0357C"/>
    <w:rsid w:val="00D03754"/>
    <w:rsid w:val="00D0556C"/>
    <w:rsid w:val="00D067AB"/>
    <w:rsid w:val="00D06945"/>
    <w:rsid w:val="00D0790E"/>
    <w:rsid w:val="00D07D3B"/>
    <w:rsid w:val="00D10582"/>
    <w:rsid w:val="00D111CF"/>
    <w:rsid w:val="00D113CE"/>
    <w:rsid w:val="00D12BDC"/>
    <w:rsid w:val="00D13DD5"/>
    <w:rsid w:val="00D15156"/>
    <w:rsid w:val="00D1561B"/>
    <w:rsid w:val="00D15F41"/>
    <w:rsid w:val="00D17724"/>
    <w:rsid w:val="00D17A51"/>
    <w:rsid w:val="00D17DA9"/>
    <w:rsid w:val="00D17EE5"/>
    <w:rsid w:val="00D20065"/>
    <w:rsid w:val="00D204A1"/>
    <w:rsid w:val="00D20CC8"/>
    <w:rsid w:val="00D21743"/>
    <w:rsid w:val="00D2181B"/>
    <w:rsid w:val="00D221FD"/>
    <w:rsid w:val="00D222D6"/>
    <w:rsid w:val="00D22445"/>
    <w:rsid w:val="00D22911"/>
    <w:rsid w:val="00D23DFE"/>
    <w:rsid w:val="00D24B0C"/>
    <w:rsid w:val="00D251CA"/>
    <w:rsid w:val="00D259DC"/>
    <w:rsid w:val="00D27498"/>
    <w:rsid w:val="00D31668"/>
    <w:rsid w:val="00D316F2"/>
    <w:rsid w:val="00D3438C"/>
    <w:rsid w:val="00D347C4"/>
    <w:rsid w:val="00D34835"/>
    <w:rsid w:val="00D34CAC"/>
    <w:rsid w:val="00D36475"/>
    <w:rsid w:val="00D3703A"/>
    <w:rsid w:val="00D373E2"/>
    <w:rsid w:val="00D377F5"/>
    <w:rsid w:val="00D37FF0"/>
    <w:rsid w:val="00D408C1"/>
    <w:rsid w:val="00D409B4"/>
    <w:rsid w:val="00D40A69"/>
    <w:rsid w:val="00D40C80"/>
    <w:rsid w:val="00D4249B"/>
    <w:rsid w:val="00D42766"/>
    <w:rsid w:val="00D42D3E"/>
    <w:rsid w:val="00D434C3"/>
    <w:rsid w:val="00D43908"/>
    <w:rsid w:val="00D4478F"/>
    <w:rsid w:val="00D451BA"/>
    <w:rsid w:val="00D45528"/>
    <w:rsid w:val="00D45D85"/>
    <w:rsid w:val="00D46AFC"/>
    <w:rsid w:val="00D50242"/>
    <w:rsid w:val="00D504E9"/>
    <w:rsid w:val="00D51958"/>
    <w:rsid w:val="00D548CB"/>
    <w:rsid w:val="00D55B97"/>
    <w:rsid w:val="00D56C4A"/>
    <w:rsid w:val="00D579DF"/>
    <w:rsid w:val="00D57FE4"/>
    <w:rsid w:val="00D60000"/>
    <w:rsid w:val="00D6005F"/>
    <w:rsid w:val="00D6048A"/>
    <w:rsid w:val="00D60E9A"/>
    <w:rsid w:val="00D61013"/>
    <w:rsid w:val="00D6140F"/>
    <w:rsid w:val="00D6176C"/>
    <w:rsid w:val="00D61AF9"/>
    <w:rsid w:val="00D61B0C"/>
    <w:rsid w:val="00D63AA6"/>
    <w:rsid w:val="00D646A9"/>
    <w:rsid w:val="00D6479A"/>
    <w:rsid w:val="00D654CE"/>
    <w:rsid w:val="00D6552E"/>
    <w:rsid w:val="00D666E4"/>
    <w:rsid w:val="00D66CA3"/>
    <w:rsid w:val="00D670CB"/>
    <w:rsid w:val="00D70218"/>
    <w:rsid w:val="00D70E4F"/>
    <w:rsid w:val="00D7172F"/>
    <w:rsid w:val="00D728C8"/>
    <w:rsid w:val="00D73E84"/>
    <w:rsid w:val="00D741F2"/>
    <w:rsid w:val="00D76521"/>
    <w:rsid w:val="00D765A6"/>
    <w:rsid w:val="00D76A48"/>
    <w:rsid w:val="00D7788E"/>
    <w:rsid w:val="00D81EE4"/>
    <w:rsid w:val="00D82685"/>
    <w:rsid w:val="00D82DE8"/>
    <w:rsid w:val="00D83040"/>
    <w:rsid w:val="00D83AA8"/>
    <w:rsid w:val="00D849D7"/>
    <w:rsid w:val="00D85E35"/>
    <w:rsid w:val="00D8760F"/>
    <w:rsid w:val="00D87FA7"/>
    <w:rsid w:val="00D90006"/>
    <w:rsid w:val="00D906B0"/>
    <w:rsid w:val="00D90F53"/>
    <w:rsid w:val="00D90FD2"/>
    <w:rsid w:val="00D913F6"/>
    <w:rsid w:val="00D91722"/>
    <w:rsid w:val="00D92350"/>
    <w:rsid w:val="00D9303A"/>
    <w:rsid w:val="00D93741"/>
    <w:rsid w:val="00D95D76"/>
    <w:rsid w:val="00D9607F"/>
    <w:rsid w:val="00D964F1"/>
    <w:rsid w:val="00D968E6"/>
    <w:rsid w:val="00DA1A27"/>
    <w:rsid w:val="00DA1A4E"/>
    <w:rsid w:val="00DA1FB1"/>
    <w:rsid w:val="00DA23F1"/>
    <w:rsid w:val="00DA3389"/>
    <w:rsid w:val="00DA3613"/>
    <w:rsid w:val="00DA4AD8"/>
    <w:rsid w:val="00DA653F"/>
    <w:rsid w:val="00DA68D0"/>
    <w:rsid w:val="00DB026F"/>
    <w:rsid w:val="00DB0350"/>
    <w:rsid w:val="00DB0354"/>
    <w:rsid w:val="00DB2E21"/>
    <w:rsid w:val="00DB30B2"/>
    <w:rsid w:val="00DB3176"/>
    <w:rsid w:val="00DB3692"/>
    <w:rsid w:val="00DB4A91"/>
    <w:rsid w:val="00DB552D"/>
    <w:rsid w:val="00DB62CA"/>
    <w:rsid w:val="00DB64A8"/>
    <w:rsid w:val="00DB6DD6"/>
    <w:rsid w:val="00DB7F23"/>
    <w:rsid w:val="00DC0293"/>
    <w:rsid w:val="00DC030F"/>
    <w:rsid w:val="00DC09C0"/>
    <w:rsid w:val="00DC1B82"/>
    <w:rsid w:val="00DC27D0"/>
    <w:rsid w:val="00DC315B"/>
    <w:rsid w:val="00DC3573"/>
    <w:rsid w:val="00DC3F19"/>
    <w:rsid w:val="00DC45C2"/>
    <w:rsid w:val="00DC53AD"/>
    <w:rsid w:val="00DC54E4"/>
    <w:rsid w:val="00DC5A9A"/>
    <w:rsid w:val="00DC5D55"/>
    <w:rsid w:val="00DC5F6E"/>
    <w:rsid w:val="00DC64C3"/>
    <w:rsid w:val="00DC6635"/>
    <w:rsid w:val="00DC683F"/>
    <w:rsid w:val="00DC6CFD"/>
    <w:rsid w:val="00DC7306"/>
    <w:rsid w:val="00DC7926"/>
    <w:rsid w:val="00DD043E"/>
    <w:rsid w:val="00DD2218"/>
    <w:rsid w:val="00DD32C0"/>
    <w:rsid w:val="00DD3740"/>
    <w:rsid w:val="00DD4013"/>
    <w:rsid w:val="00DD5525"/>
    <w:rsid w:val="00DD5E2E"/>
    <w:rsid w:val="00DD5FAB"/>
    <w:rsid w:val="00DD6D8A"/>
    <w:rsid w:val="00DD729E"/>
    <w:rsid w:val="00DE0134"/>
    <w:rsid w:val="00DE06CE"/>
    <w:rsid w:val="00DE23B0"/>
    <w:rsid w:val="00DE3385"/>
    <w:rsid w:val="00DE43F0"/>
    <w:rsid w:val="00DE64F9"/>
    <w:rsid w:val="00DE7619"/>
    <w:rsid w:val="00DE7A70"/>
    <w:rsid w:val="00DE7C5C"/>
    <w:rsid w:val="00DF00E0"/>
    <w:rsid w:val="00DF1235"/>
    <w:rsid w:val="00DF144C"/>
    <w:rsid w:val="00DF1822"/>
    <w:rsid w:val="00DF2A55"/>
    <w:rsid w:val="00DF40EF"/>
    <w:rsid w:val="00DF4163"/>
    <w:rsid w:val="00DF4786"/>
    <w:rsid w:val="00DF47C5"/>
    <w:rsid w:val="00DF56D9"/>
    <w:rsid w:val="00DF5823"/>
    <w:rsid w:val="00DF5E6C"/>
    <w:rsid w:val="00DF6020"/>
    <w:rsid w:val="00DF6315"/>
    <w:rsid w:val="00DF6568"/>
    <w:rsid w:val="00DF744F"/>
    <w:rsid w:val="00E00C08"/>
    <w:rsid w:val="00E013E3"/>
    <w:rsid w:val="00E01FE1"/>
    <w:rsid w:val="00E02437"/>
    <w:rsid w:val="00E034FC"/>
    <w:rsid w:val="00E04716"/>
    <w:rsid w:val="00E052ED"/>
    <w:rsid w:val="00E05DE0"/>
    <w:rsid w:val="00E05F53"/>
    <w:rsid w:val="00E066FC"/>
    <w:rsid w:val="00E06B51"/>
    <w:rsid w:val="00E06FCC"/>
    <w:rsid w:val="00E076D1"/>
    <w:rsid w:val="00E078F6"/>
    <w:rsid w:val="00E07BEB"/>
    <w:rsid w:val="00E07ECF"/>
    <w:rsid w:val="00E107A4"/>
    <w:rsid w:val="00E11A62"/>
    <w:rsid w:val="00E11BC3"/>
    <w:rsid w:val="00E1210F"/>
    <w:rsid w:val="00E1211B"/>
    <w:rsid w:val="00E12876"/>
    <w:rsid w:val="00E12D40"/>
    <w:rsid w:val="00E13826"/>
    <w:rsid w:val="00E13FE7"/>
    <w:rsid w:val="00E14E8E"/>
    <w:rsid w:val="00E14ED5"/>
    <w:rsid w:val="00E1543C"/>
    <w:rsid w:val="00E15656"/>
    <w:rsid w:val="00E168CC"/>
    <w:rsid w:val="00E16C43"/>
    <w:rsid w:val="00E16C88"/>
    <w:rsid w:val="00E20CC4"/>
    <w:rsid w:val="00E211F3"/>
    <w:rsid w:val="00E213F3"/>
    <w:rsid w:val="00E22F38"/>
    <w:rsid w:val="00E23F9D"/>
    <w:rsid w:val="00E259A9"/>
    <w:rsid w:val="00E26F5D"/>
    <w:rsid w:val="00E30E38"/>
    <w:rsid w:val="00E31014"/>
    <w:rsid w:val="00E3234C"/>
    <w:rsid w:val="00E339D7"/>
    <w:rsid w:val="00E343A6"/>
    <w:rsid w:val="00E34953"/>
    <w:rsid w:val="00E356D7"/>
    <w:rsid w:val="00E35D56"/>
    <w:rsid w:val="00E369B6"/>
    <w:rsid w:val="00E370AC"/>
    <w:rsid w:val="00E3781A"/>
    <w:rsid w:val="00E37AA9"/>
    <w:rsid w:val="00E37B9E"/>
    <w:rsid w:val="00E403A5"/>
    <w:rsid w:val="00E4053D"/>
    <w:rsid w:val="00E408C7"/>
    <w:rsid w:val="00E408DB"/>
    <w:rsid w:val="00E43564"/>
    <w:rsid w:val="00E458BB"/>
    <w:rsid w:val="00E4702E"/>
    <w:rsid w:val="00E50D81"/>
    <w:rsid w:val="00E53312"/>
    <w:rsid w:val="00E538D6"/>
    <w:rsid w:val="00E53EBC"/>
    <w:rsid w:val="00E542C7"/>
    <w:rsid w:val="00E54C3E"/>
    <w:rsid w:val="00E55AA2"/>
    <w:rsid w:val="00E5658E"/>
    <w:rsid w:val="00E57430"/>
    <w:rsid w:val="00E57BB5"/>
    <w:rsid w:val="00E603E8"/>
    <w:rsid w:val="00E6045B"/>
    <w:rsid w:val="00E62631"/>
    <w:rsid w:val="00E62C4D"/>
    <w:rsid w:val="00E63125"/>
    <w:rsid w:val="00E633AA"/>
    <w:rsid w:val="00E63AE8"/>
    <w:rsid w:val="00E64891"/>
    <w:rsid w:val="00E64F20"/>
    <w:rsid w:val="00E64FC4"/>
    <w:rsid w:val="00E65A08"/>
    <w:rsid w:val="00E66101"/>
    <w:rsid w:val="00E665D3"/>
    <w:rsid w:val="00E6686F"/>
    <w:rsid w:val="00E6723F"/>
    <w:rsid w:val="00E7148C"/>
    <w:rsid w:val="00E7162E"/>
    <w:rsid w:val="00E72663"/>
    <w:rsid w:val="00E730DE"/>
    <w:rsid w:val="00E73977"/>
    <w:rsid w:val="00E749D8"/>
    <w:rsid w:val="00E760B4"/>
    <w:rsid w:val="00E76D22"/>
    <w:rsid w:val="00E81A56"/>
    <w:rsid w:val="00E825EC"/>
    <w:rsid w:val="00E82634"/>
    <w:rsid w:val="00E8359B"/>
    <w:rsid w:val="00E844D6"/>
    <w:rsid w:val="00E85756"/>
    <w:rsid w:val="00E857D5"/>
    <w:rsid w:val="00E85E72"/>
    <w:rsid w:val="00E86FE0"/>
    <w:rsid w:val="00E87056"/>
    <w:rsid w:val="00E87C83"/>
    <w:rsid w:val="00E900A0"/>
    <w:rsid w:val="00E908B0"/>
    <w:rsid w:val="00E92533"/>
    <w:rsid w:val="00E92BDC"/>
    <w:rsid w:val="00E9631A"/>
    <w:rsid w:val="00E97A84"/>
    <w:rsid w:val="00EA02EF"/>
    <w:rsid w:val="00EA30DC"/>
    <w:rsid w:val="00EA3251"/>
    <w:rsid w:val="00EA3439"/>
    <w:rsid w:val="00EA353A"/>
    <w:rsid w:val="00EA462D"/>
    <w:rsid w:val="00EA65BC"/>
    <w:rsid w:val="00EB077E"/>
    <w:rsid w:val="00EB1452"/>
    <w:rsid w:val="00EB179A"/>
    <w:rsid w:val="00EB5D77"/>
    <w:rsid w:val="00EB5F51"/>
    <w:rsid w:val="00EB7030"/>
    <w:rsid w:val="00EB7759"/>
    <w:rsid w:val="00EB7EB8"/>
    <w:rsid w:val="00EC1327"/>
    <w:rsid w:val="00EC13A4"/>
    <w:rsid w:val="00EC1672"/>
    <w:rsid w:val="00EC189B"/>
    <w:rsid w:val="00EC2106"/>
    <w:rsid w:val="00EC2CC9"/>
    <w:rsid w:val="00EC2E76"/>
    <w:rsid w:val="00EC347B"/>
    <w:rsid w:val="00EC3541"/>
    <w:rsid w:val="00EC389E"/>
    <w:rsid w:val="00EC3F81"/>
    <w:rsid w:val="00EC4449"/>
    <w:rsid w:val="00EC4D78"/>
    <w:rsid w:val="00EC51F6"/>
    <w:rsid w:val="00ED2CB6"/>
    <w:rsid w:val="00ED5149"/>
    <w:rsid w:val="00ED5F71"/>
    <w:rsid w:val="00ED6501"/>
    <w:rsid w:val="00ED670B"/>
    <w:rsid w:val="00EE0579"/>
    <w:rsid w:val="00EE0ECC"/>
    <w:rsid w:val="00EE1591"/>
    <w:rsid w:val="00EE1D60"/>
    <w:rsid w:val="00EE2545"/>
    <w:rsid w:val="00EE4390"/>
    <w:rsid w:val="00EE48ED"/>
    <w:rsid w:val="00EE558C"/>
    <w:rsid w:val="00EE60D4"/>
    <w:rsid w:val="00EF088B"/>
    <w:rsid w:val="00EF1236"/>
    <w:rsid w:val="00EF1599"/>
    <w:rsid w:val="00EF1B06"/>
    <w:rsid w:val="00EF213D"/>
    <w:rsid w:val="00EF30F7"/>
    <w:rsid w:val="00EF5546"/>
    <w:rsid w:val="00EF5661"/>
    <w:rsid w:val="00EF7B79"/>
    <w:rsid w:val="00F008AC"/>
    <w:rsid w:val="00F00BFC"/>
    <w:rsid w:val="00F02D22"/>
    <w:rsid w:val="00F02ED8"/>
    <w:rsid w:val="00F06193"/>
    <w:rsid w:val="00F06B83"/>
    <w:rsid w:val="00F06F5B"/>
    <w:rsid w:val="00F07C0D"/>
    <w:rsid w:val="00F1001D"/>
    <w:rsid w:val="00F101A8"/>
    <w:rsid w:val="00F10668"/>
    <w:rsid w:val="00F10E75"/>
    <w:rsid w:val="00F1110E"/>
    <w:rsid w:val="00F123D5"/>
    <w:rsid w:val="00F13816"/>
    <w:rsid w:val="00F13EFF"/>
    <w:rsid w:val="00F14FEB"/>
    <w:rsid w:val="00F17289"/>
    <w:rsid w:val="00F175EB"/>
    <w:rsid w:val="00F21E79"/>
    <w:rsid w:val="00F22072"/>
    <w:rsid w:val="00F22BAA"/>
    <w:rsid w:val="00F269E1"/>
    <w:rsid w:val="00F27610"/>
    <w:rsid w:val="00F27C36"/>
    <w:rsid w:val="00F30152"/>
    <w:rsid w:val="00F303EF"/>
    <w:rsid w:val="00F30E6F"/>
    <w:rsid w:val="00F30FB6"/>
    <w:rsid w:val="00F31639"/>
    <w:rsid w:val="00F32466"/>
    <w:rsid w:val="00F3288F"/>
    <w:rsid w:val="00F33085"/>
    <w:rsid w:val="00F3333E"/>
    <w:rsid w:val="00F3372D"/>
    <w:rsid w:val="00F33F7C"/>
    <w:rsid w:val="00F34655"/>
    <w:rsid w:val="00F348F9"/>
    <w:rsid w:val="00F35643"/>
    <w:rsid w:val="00F36782"/>
    <w:rsid w:val="00F40573"/>
    <w:rsid w:val="00F4088B"/>
    <w:rsid w:val="00F40EB7"/>
    <w:rsid w:val="00F420A7"/>
    <w:rsid w:val="00F4256C"/>
    <w:rsid w:val="00F43D90"/>
    <w:rsid w:val="00F43E24"/>
    <w:rsid w:val="00F44135"/>
    <w:rsid w:val="00F46930"/>
    <w:rsid w:val="00F46C8A"/>
    <w:rsid w:val="00F50F46"/>
    <w:rsid w:val="00F52A0A"/>
    <w:rsid w:val="00F534FC"/>
    <w:rsid w:val="00F53AF3"/>
    <w:rsid w:val="00F552A6"/>
    <w:rsid w:val="00F57334"/>
    <w:rsid w:val="00F579C1"/>
    <w:rsid w:val="00F600DC"/>
    <w:rsid w:val="00F60DA0"/>
    <w:rsid w:val="00F60EC9"/>
    <w:rsid w:val="00F61378"/>
    <w:rsid w:val="00F615C2"/>
    <w:rsid w:val="00F6216B"/>
    <w:rsid w:val="00F6246B"/>
    <w:rsid w:val="00F6291A"/>
    <w:rsid w:val="00F631ED"/>
    <w:rsid w:val="00F642FE"/>
    <w:rsid w:val="00F65195"/>
    <w:rsid w:val="00F6531F"/>
    <w:rsid w:val="00F65B8B"/>
    <w:rsid w:val="00F65C70"/>
    <w:rsid w:val="00F65E20"/>
    <w:rsid w:val="00F663F5"/>
    <w:rsid w:val="00F66533"/>
    <w:rsid w:val="00F66A2A"/>
    <w:rsid w:val="00F67E76"/>
    <w:rsid w:val="00F700BB"/>
    <w:rsid w:val="00F704D4"/>
    <w:rsid w:val="00F7119F"/>
    <w:rsid w:val="00F7122E"/>
    <w:rsid w:val="00F7322E"/>
    <w:rsid w:val="00F73883"/>
    <w:rsid w:val="00F748F9"/>
    <w:rsid w:val="00F74DF9"/>
    <w:rsid w:val="00F75023"/>
    <w:rsid w:val="00F75863"/>
    <w:rsid w:val="00F75B69"/>
    <w:rsid w:val="00F80546"/>
    <w:rsid w:val="00F805BD"/>
    <w:rsid w:val="00F8087C"/>
    <w:rsid w:val="00F80AEB"/>
    <w:rsid w:val="00F81909"/>
    <w:rsid w:val="00F81BB5"/>
    <w:rsid w:val="00F83E37"/>
    <w:rsid w:val="00F85F5A"/>
    <w:rsid w:val="00F8759E"/>
    <w:rsid w:val="00F875C8"/>
    <w:rsid w:val="00F87B2D"/>
    <w:rsid w:val="00F87BC4"/>
    <w:rsid w:val="00F87F1C"/>
    <w:rsid w:val="00F90309"/>
    <w:rsid w:val="00F9058B"/>
    <w:rsid w:val="00F908FA"/>
    <w:rsid w:val="00F90F7C"/>
    <w:rsid w:val="00F90FA9"/>
    <w:rsid w:val="00F927F3"/>
    <w:rsid w:val="00F92BB5"/>
    <w:rsid w:val="00F937C9"/>
    <w:rsid w:val="00F94717"/>
    <w:rsid w:val="00F95F4F"/>
    <w:rsid w:val="00F97186"/>
    <w:rsid w:val="00FA0619"/>
    <w:rsid w:val="00FA1E1C"/>
    <w:rsid w:val="00FA27CA"/>
    <w:rsid w:val="00FA349A"/>
    <w:rsid w:val="00FA3A34"/>
    <w:rsid w:val="00FA3BB5"/>
    <w:rsid w:val="00FA43BE"/>
    <w:rsid w:val="00FA4457"/>
    <w:rsid w:val="00FA462D"/>
    <w:rsid w:val="00FA4703"/>
    <w:rsid w:val="00FA4A85"/>
    <w:rsid w:val="00FA4D43"/>
    <w:rsid w:val="00FA55B4"/>
    <w:rsid w:val="00FB250F"/>
    <w:rsid w:val="00FB2A7C"/>
    <w:rsid w:val="00FB4403"/>
    <w:rsid w:val="00FB57DE"/>
    <w:rsid w:val="00FB5AFA"/>
    <w:rsid w:val="00FB6D99"/>
    <w:rsid w:val="00FC1C67"/>
    <w:rsid w:val="00FC2335"/>
    <w:rsid w:val="00FC29E6"/>
    <w:rsid w:val="00FC2FF2"/>
    <w:rsid w:val="00FC378F"/>
    <w:rsid w:val="00FC51EB"/>
    <w:rsid w:val="00FC632E"/>
    <w:rsid w:val="00FD167A"/>
    <w:rsid w:val="00FD188F"/>
    <w:rsid w:val="00FD2CC3"/>
    <w:rsid w:val="00FD3379"/>
    <w:rsid w:val="00FD4105"/>
    <w:rsid w:val="00FD45FD"/>
    <w:rsid w:val="00FD4F83"/>
    <w:rsid w:val="00FD5993"/>
    <w:rsid w:val="00FD5C86"/>
    <w:rsid w:val="00FD6238"/>
    <w:rsid w:val="00FD7CD2"/>
    <w:rsid w:val="00FE07C7"/>
    <w:rsid w:val="00FE1639"/>
    <w:rsid w:val="00FE1ACC"/>
    <w:rsid w:val="00FE1D12"/>
    <w:rsid w:val="00FE22F2"/>
    <w:rsid w:val="00FE2C0C"/>
    <w:rsid w:val="00FE41CF"/>
    <w:rsid w:val="00FE4ABB"/>
    <w:rsid w:val="00FE5079"/>
    <w:rsid w:val="00FE515E"/>
    <w:rsid w:val="00FE564A"/>
    <w:rsid w:val="00FE6377"/>
    <w:rsid w:val="00FE6E38"/>
    <w:rsid w:val="00FE7BD8"/>
    <w:rsid w:val="00FF11F4"/>
    <w:rsid w:val="00FF1C2B"/>
    <w:rsid w:val="00FF24A7"/>
    <w:rsid w:val="00FF2795"/>
    <w:rsid w:val="00FF294B"/>
    <w:rsid w:val="00FF3C51"/>
    <w:rsid w:val="00FF409B"/>
    <w:rsid w:val="00FF417B"/>
    <w:rsid w:val="00FF512A"/>
    <w:rsid w:val="00FF5223"/>
    <w:rsid w:val="00FF5ACD"/>
    <w:rsid w:val="00FF6058"/>
    <w:rsid w:val="00FF61BA"/>
    <w:rsid w:val="00FF6A1D"/>
    <w:rsid w:val="00FF6CB6"/>
    <w:rsid w:val="00FF769E"/>
    <w:rsid w:val="00FF7A58"/>
    <w:rsid w:val="19EE019E"/>
    <w:rsid w:val="1BB7B4E1"/>
    <w:rsid w:val="3123FAFE"/>
    <w:rsid w:val="68A19850"/>
    <w:rsid w:val="7DA8837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4DE5"/>
  <w15:chartTrackingRefBased/>
  <w15:docId w15:val="{A1DC77C3-A02B-497C-A6F8-B470CFF9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FD"/>
    <w:pPr>
      <w:spacing w:line="276" w:lineRule="auto"/>
    </w:pPr>
    <w:rPr>
      <w:rFonts w:ascii="Museo Sans Rounded 300" w:hAnsi="Museo Sans Rounded 300"/>
      <w:spacing w:val="20"/>
      <w:sz w:val="20"/>
      <w:szCs w:val="20"/>
    </w:rPr>
  </w:style>
  <w:style w:type="paragraph" w:styleId="Rubrik1">
    <w:name w:val="heading 1"/>
    <w:basedOn w:val="2050Format"/>
    <w:next w:val="Normal"/>
    <w:link w:val="Rubrik1Char"/>
    <w:autoRedefine/>
    <w:uiPriority w:val="9"/>
    <w:qFormat/>
    <w:rsid w:val="00116F6B"/>
    <w:pPr>
      <w:spacing w:after="120"/>
      <w:outlineLvl w:val="0"/>
    </w:pPr>
    <w:rPr>
      <w:rFonts w:ascii="Museo Sans Rounded 900" w:hAnsi="Museo Sans Rounded 900"/>
      <w:spacing w:val="10"/>
      <w:sz w:val="36"/>
      <w:szCs w:val="36"/>
    </w:rPr>
  </w:style>
  <w:style w:type="paragraph" w:styleId="Rubrik2">
    <w:name w:val="heading 2"/>
    <w:basedOn w:val="Normal"/>
    <w:next w:val="Normal"/>
    <w:link w:val="Rubrik2Char"/>
    <w:autoRedefine/>
    <w:uiPriority w:val="9"/>
    <w:unhideWhenUsed/>
    <w:qFormat/>
    <w:rsid w:val="008A70A4"/>
    <w:pPr>
      <w:ind w:left="284" w:hanging="360"/>
      <w:outlineLvl w:val="1"/>
    </w:pPr>
    <w:rPr>
      <w:sz w:val="28"/>
      <w:szCs w:val="28"/>
    </w:rPr>
  </w:style>
  <w:style w:type="paragraph" w:styleId="Rubrik3">
    <w:name w:val="heading 3"/>
    <w:basedOn w:val="Normal"/>
    <w:next w:val="Normal"/>
    <w:link w:val="Rubrik3Char"/>
    <w:autoRedefine/>
    <w:uiPriority w:val="9"/>
    <w:unhideWhenUsed/>
    <w:qFormat/>
    <w:rsid w:val="00DF56D9"/>
    <w:pPr>
      <w:outlineLvl w:val="2"/>
    </w:pPr>
    <w:rPr>
      <w:rFonts w:ascii="Museo Sans Rounded 900" w:hAnsi="Museo Sans Rounded 900"/>
      <w:b/>
      <w:bCs/>
      <w:sz w:val="24"/>
      <w:szCs w:val="24"/>
    </w:rPr>
  </w:style>
  <w:style w:type="paragraph" w:styleId="Rubrik4">
    <w:name w:val="heading 4"/>
    <w:basedOn w:val="Normal"/>
    <w:next w:val="Normal"/>
    <w:link w:val="Rubrik4Char"/>
    <w:uiPriority w:val="9"/>
    <w:unhideWhenUsed/>
    <w:qFormat/>
    <w:rsid w:val="003F1F6C"/>
    <w:pPr>
      <w:keepNext/>
      <w:keepLines/>
      <w:spacing w:before="40" w:after="0"/>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50Rubrik2">
    <w:name w:val="2050 Rubrik 2"/>
    <w:basedOn w:val="Rubrik2"/>
    <w:next w:val="Normal"/>
    <w:link w:val="2050Rubrik2Char"/>
    <w:qFormat/>
    <w:rsid w:val="00F22072"/>
    <w:pPr>
      <w:keepNext/>
      <w:keepLines/>
      <w:spacing w:before="200" w:after="0"/>
    </w:pPr>
    <w:rPr>
      <w:rFonts w:eastAsia="Calibri" w:cs="Times New Roman"/>
    </w:rPr>
  </w:style>
  <w:style w:type="character" w:customStyle="1" w:styleId="2050Rubrik2Char">
    <w:name w:val="2050 Rubrik 2 Char"/>
    <w:basedOn w:val="Rubrik2Char"/>
    <w:link w:val="2050Rubrik2"/>
    <w:rsid w:val="00F22072"/>
    <w:rPr>
      <w:rFonts w:ascii="Museo Sans Rounded 300" w:eastAsia="Calibri" w:hAnsi="Museo Sans Rounded 300" w:cs="Times New Roman"/>
      <w:spacing w:val="20"/>
      <w:sz w:val="28"/>
      <w:szCs w:val="28"/>
    </w:rPr>
  </w:style>
  <w:style w:type="character" w:customStyle="1" w:styleId="Rubrik2Char">
    <w:name w:val="Rubrik 2 Char"/>
    <w:basedOn w:val="Standardstycketeckensnitt"/>
    <w:link w:val="Rubrik2"/>
    <w:uiPriority w:val="9"/>
    <w:rsid w:val="008A70A4"/>
    <w:rPr>
      <w:rFonts w:ascii="Museo Sans Rounded 300" w:hAnsi="Museo Sans Rounded 300"/>
      <w:spacing w:val="20"/>
      <w:sz w:val="28"/>
      <w:szCs w:val="28"/>
    </w:rPr>
  </w:style>
  <w:style w:type="paragraph" w:customStyle="1" w:styleId="2050-Rubrik1">
    <w:name w:val="2050- Rubrik 1"/>
    <w:basedOn w:val="Rubrik1"/>
    <w:next w:val="Normal"/>
    <w:link w:val="2050-Rubrik1Char"/>
    <w:rsid w:val="00F22072"/>
    <w:rPr>
      <w:rFonts w:eastAsia="Times New Roman" w:cs="Times New Roman"/>
      <w:b/>
      <w:bCs/>
    </w:rPr>
  </w:style>
  <w:style w:type="character" w:customStyle="1" w:styleId="2050-Rubrik1Char">
    <w:name w:val="2050- Rubrik 1 Char"/>
    <w:basedOn w:val="Rubrik1Char"/>
    <w:link w:val="2050-Rubrik1"/>
    <w:rsid w:val="00F22072"/>
    <w:rPr>
      <w:rFonts w:ascii="Museo Sans Rounded 900" w:eastAsia="Times New Roman" w:hAnsi="Museo Sans Rounded 900" w:cs="Times New Roman"/>
      <w:b/>
      <w:bCs/>
      <w:spacing w:val="10"/>
      <w:kern w:val="28"/>
      <w:sz w:val="36"/>
      <w:szCs w:val="36"/>
    </w:rPr>
  </w:style>
  <w:style w:type="character" w:customStyle="1" w:styleId="Rubrik1Char">
    <w:name w:val="Rubrik 1 Char"/>
    <w:basedOn w:val="Standardstycketeckensnitt"/>
    <w:link w:val="Rubrik1"/>
    <w:uiPriority w:val="9"/>
    <w:rsid w:val="00116F6B"/>
    <w:rPr>
      <w:rFonts w:ascii="Museo Sans Rounded 900" w:eastAsiaTheme="majorEastAsia" w:hAnsi="Museo Sans Rounded 900" w:cstheme="majorBidi"/>
      <w:spacing w:val="10"/>
      <w:kern w:val="28"/>
      <w:sz w:val="36"/>
      <w:szCs w:val="36"/>
    </w:rPr>
  </w:style>
  <w:style w:type="character" w:customStyle="1" w:styleId="Rubrik3Char">
    <w:name w:val="Rubrik 3 Char"/>
    <w:basedOn w:val="Standardstycketeckensnitt"/>
    <w:link w:val="Rubrik3"/>
    <w:uiPriority w:val="9"/>
    <w:rsid w:val="00DF56D9"/>
    <w:rPr>
      <w:rFonts w:ascii="Museo Sans Rounded 900" w:hAnsi="Museo Sans Rounded 900"/>
      <w:b/>
      <w:bCs/>
      <w:spacing w:val="20"/>
      <w:sz w:val="24"/>
      <w:szCs w:val="24"/>
    </w:rPr>
  </w:style>
  <w:style w:type="paragraph" w:styleId="Beskrivning">
    <w:name w:val="caption"/>
    <w:basedOn w:val="Normal"/>
    <w:next w:val="Normal"/>
    <w:uiPriority w:val="35"/>
    <w:unhideWhenUsed/>
    <w:qFormat/>
    <w:rsid w:val="00F22072"/>
    <w:pPr>
      <w:spacing w:after="200" w:line="240" w:lineRule="auto"/>
    </w:pPr>
    <w:rPr>
      <w:i/>
      <w:iCs/>
      <w:color w:val="44546A" w:themeColor="text2"/>
      <w:sz w:val="18"/>
      <w:szCs w:val="18"/>
    </w:rPr>
  </w:style>
  <w:style w:type="character" w:styleId="Stark">
    <w:name w:val="Strong"/>
    <w:basedOn w:val="Standardstycketeckensnitt"/>
    <w:uiPriority w:val="22"/>
    <w:qFormat/>
    <w:rsid w:val="00F22072"/>
    <w:rPr>
      <w:b/>
      <w:bCs/>
    </w:rPr>
  </w:style>
  <w:style w:type="paragraph" w:styleId="Ingetavstnd">
    <w:name w:val="No Spacing"/>
    <w:link w:val="IngetavstndChar"/>
    <w:autoRedefine/>
    <w:uiPriority w:val="1"/>
    <w:qFormat/>
    <w:rsid w:val="00F22072"/>
    <w:pPr>
      <w:spacing w:after="0" w:line="240" w:lineRule="auto"/>
    </w:pPr>
  </w:style>
  <w:style w:type="character" w:customStyle="1" w:styleId="IngetavstndChar">
    <w:name w:val="Inget avstånd Char"/>
    <w:basedOn w:val="Standardstycketeckensnitt"/>
    <w:link w:val="Ingetavstnd"/>
    <w:uiPriority w:val="1"/>
    <w:rsid w:val="00F22072"/>
  </w:style>
  <w:style w:type="paragraph" w:styleId="Liststycke">
    <w:name w:val="List Paragraph"/>
    <w:basedOn w:val="Normal"/>
    <w:uiPriority w:val="34"/>
    <w:qFormat/>
    <w:rsid w:val="00F22072"/>
    <w:pPr>
      <w:ind w:left="720"/>
      <w:contextualSpacing/>
    </w:pPr>
  </w:style>
  <w:style w:type="paragraph" w:styleId="Innehllsfrteckningsrubrik">
    <w:name w:val="TOC Heading"/>
    <w:basedOn w:val="Rubrik1"/>
    <w:next w:val="Normal"/>
    <w:uiPriority w:val="39"/>
    <w:unhideWhenUsed/>
    <w:qFormat/>
    <w:rsid w:val="00F22072"/>
    <w:pPr>
      <w:keepNext/>
      <w:keepLines/>
      <w:spacing w:before="240" w:line="259" w:lineRule="auto"/>
      <w:contextualSpacing w:val="0"/>
      <w:outlineLvl w:val="9"/>
    </w:pPr>
    <w:rPr>
      <w:rFonts w:asciiTheme="majorHAnsi" w:hAnsiTheme="majorHAnsi"/>
      <w:color w:val="C33A0D" w:themeColor="accent1" w:themeShade="BF"/>
      <w:spacing w:val="0"/>
      <w:kern w:val="0"/>
      <w:sz w:val="32"/>
      <w:szCs w:val="32"/>
      <w:lang w:eastAsia="sv-SE"/>
    </w:rPr>
  </w:style>
  <w:style w:type="paragraph" w:customStyle="1" w:styleId="2050Format">
    <w:name w:val="2050 Format"/>
    <w:basedOn w:val="Rubrik"/>
    <w:link w:val="2050FormatChar"/>
    <w:qFormat/>
    <w:rsid w:val="00F22072"/>
  </w:style>
  <w:style w:type="character" w:customStyle="1" w:styleId="2050FormatChar">
    <w:name w:val="2050 Format Char"/>
    <w:basedOn w:val="RubrikChar"/>
    <w:link w:val="2050Format"/>
    <w:rsid w:val="00F22072"/>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rsid w:val="00F220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22072"/>
    <w:rPr>
      <w:rFonts w:asciiTheme="majorHAnsi" w:eastAsiaTheme="majorEastAsia" w:hAnsiTheme="majorHAnsi" w:cstheme="majorBidi"/>
      <w:spacing w:val="-10"/>
      <w:kern w:val="28"/>
      <w:sz w:val="56"/>
      <w:szCs w:val="56"/>
    </w:rPr>
  </w:style>
  <w:style w:type="paragraph" w:styleId="Innehll1">
    <w:name w:val="toc 1"/>
    <w:basedOn w:val="Normal"/>
    <w:next w:val="Normal"/>
    <w:autoRedefine/>
    <w:uiPriority w:val="39"/>
    <w:unhideWhenUsed/>
    <w:rsid w:val="006B6B76"/>
    <w:pPr>
      <w:tabs>
        <w:tab w:val="right" w:leader="dot" w:pos="9062"/>
      </w:tabs>
      <w:spacing w:after="100"/>
    </w:pPr>
  </w:style>
  <w:style w:type="paragraph" w:styleId="Innehll2">
    <w:name w:val="toc 2"/>
    <w:basedOn w:val="Normal"/>
    <w:next w:val="Normal"/>
    <w:autoRedefine/>
    <w:uiPriority w:val="39"/>
    <w:unhideWhenUsed/>
    <w:rsid w:val="00B44996"/>
    <w:pPr>
      <w:tabs>
        <w:tab w:val="right" w:leader="dot" w:pos="9062"/>
      </w:tabs>
      <w:spacing w:after="100"/>
      <w:ind w:left="200"/>
    </w:pPr>
  </w:style>
  <w:style w:type="paragraph" w:styleId="Innehll3">
    <w:name w:val="toc 3"/>
    <w:basedOn w:val="Normal"/>
    <w:next w:val="Normal"/>
    <w:autoRedefine/>
    <w:uiPriority w:val="39"/>
    <w:unhideWhenUsed/>
    <w:rsid w:val="006B6B76"/>
    <w:pPr>
      <w:tabs>
        <w:tab w:val="right" w:leader="dot" w:pos="9062"/>
      </w:tabs>
      <w:spacing w:after="100"/>
      <w:ind w:left="400"/>
    </w:pPr>
  </w:style>
  <w:style w:type="character" w:styleId="Hyperlnk">
    <w:name w:val="Hyperlink"/>
    <w:basedOn w:val="Standardstycketeckensnitt"/>
    <w:uiPriority w:val="99"/>
    <w:unhideWhenUsed/>
    <w:rsid w:val="002B7BAC"/>
    <w:rPr>
      <w:color w:val="0563C1" w:themeColor="hyperlink"/>
      <w:u w:val="single"/>
    </w:rPr>
  </w:style>
  <w:style w:type="table" w:styleId="Tabellrutnt">
    <w:name w:val="Table Grid"/>
    <w:basedOn w:val="Normaltabell"/>
    <w:uiPriority w:val="39"/>
    <w:rsid w:val="004F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97A84"/>
    <w:rPr>
      <w:sz w:val="16"/>
      <w:szCs w:val="16"/>
    </w:rPr>
  </w:style>
  <w:style w:type="paragraph" w:styleId="Kommentarer">
    <w:name w:val="annotation text"/>
    <w:basedOn w:val="Normal"/>
    <w:link w:val="KommentarerChar"/>
    <w:uiPriority w:val="99"/>
    <w:unhideWhenUsed/>
    <w:rsid w:val="00E97A84"/>
    <w:pPr>
      <w:spacing w:line="240" w:lineRule="auto"/>
    </w:pPr>
  </w:style>
  <w:style w:type="character" w:customStyle="1" w:styleId="KommentarerChar">
    <w:name w:val="Kommentarer Char"/>
    <w:basedOn w:val="Standardstycketeckensnitt"/>
    <w:link w:val="Kommentarer"/>
    <w:uiPriority w:val="99"/>
    <w:rsid w:val="00E97A84"/>
    <w:rPr>
      <w:rFonts w:ascii="Museo Sans Rounded 300" w:hAnsi="Museo Sans Rounded 300"/>
      <w:spacing w:val="20"/>
      <w:sz w:val="20"/>
      <w:szCs w:val="20"/>
    </w:rPr>
  </w:style>
  <w:style w:type="paragraph" w:styleId="Kommentarsmne">
    <w:name w:val="annotation subject"/>
    <w:basedOn w:val="Kommentarer"/>
    <w:next w:val="Kommentarer"/>
    <w:link w:val="KommentarsmneChar"/>
    <w:uiPriority w:val="99"/>
    <w:semiHidden/>
    <w:unhideWhenUsed/>
    <w:rsid w:val="00E97A84"/>
    <w:rPr>
      <w:b/>
      <w:bCs/>
    </w:rPr>
  </w:style>
  <w:style w:type="character" w:customStyle="1" w:styleId="KommentarsmneChar">
    <w:name w:val="Kommentarsämne Char"/>
    <w:basedOn w:val="KommentarerChar"/>
    <w:link w:val="Kommentarsmne"/>
    <w:uiPriority w:val="99"/>
    <w:semiHidden/>
    <w:rsid w:val="00E97A84"/>
    <w:rPr>
      <w:rFonts w:ascii="Museo Sans Rounded 300" w:hAnsi="Museo Sans Rounded 300"/>
      <w:b/>
      <w:bCs/>
      <w:spacing w:val="20"/>
      <w:sz w:val="20"/>
      <w:szCs w:val="20"/>
    </w:rPr>
  </w:style>
  <w:style w:type="character" w:customStyle="1" w:styleId="Olstomnmnande1">
    <w:name w:val="Olöst omnämnande1"/>
    <w:basedOn w:val="Standardstycketeckensnitt"/>
    <w:uiPriority w:val="99"/>
    <w:semiHidden/>
    <w:unhideWhenUsed/>
    <w:rsid w:val="003D4ADA"/>
    <w:rPr>
      <w:color w:val="605E5C"/>
      <w:shd w:val="clear" w:color="auto" w:fill="E1DFDD"/>
    </w:rPr>
  </w:style>
  <w:style w:type="paragraph" w:styleId="Fotnotstext">
    <w:name w:val="footnote text"/>
    <w:basedOn w:val="Normal"/>
    <w:link w:val="FotnotstextChar"/>
    <w:uiPriority w:val="99"/>
    <w:semiHidden/>
    <w:unhideWhenUsed/>
    <w:rsid w:val="003D4ADA"/>
    <w:pPr>
      <w:spacing w:after="0" w:line="240" w:lineRule="auto"/>
    </w:pPr>
  </w:style>
  <w:style w:type="character" w:customStyle="1" w:styleId="FotnotstextChar">
    <w:name w:val="Fotnotstext Char"/>
    <w:basedOn w:val="Standardstycketeckensnitt"/>
    <w:link w:val="Fotnotstext"/>
    <w:uiPriority w:val="99"/>
    <w:semiHidden/>
    <w:rsid w:val="003D4ADA"/>
    <w:rPr>
      <w:rFonts w:ascii="Museo Sans Rounded 300" w:hAnsi="Museo Sans Rounded 300"/>
      <w:spacing w:val="20"/>
      <w:sz w:val="20"/>
      <w:szCs w:val="20"/>
    </w:rPr>
  </w:style>
  <w:style w:type="character" w:styleId="Fotnotsreferens">
    <w:name w:val="footnote reference"/>
    <w:basedOn w:val="Standardstycketeckensnitt"/>
    <w:uiPriority w:val="99"/>
    <w:semiHidden/>
    <w:unhideWhenUsed/>
    <w:rsid w:val="003D4ADA"/>
    <w:rPr>
      <w:vertAlign w:val="superscript"/>
    </w:rPr>
  </w:style>
  <w:style w:type="character" w:customStyle="1" w:styleId="Rubrik4Char">
    <w:name w:val="Rubrik 4 Char"/>
    <w:basedOn w:val="Standardstycketeckensnitt"/>
    <w:link w:val="Rubrik4"/>
    <w:uiPriority w:val="9"/>
    <w:rsid w:val="00E72663"/>
    <w:rPr>
      <w:rFonts w:ascii="Museo Sans Rounded 300" w:hAnsi="Museo Sans Rounded 300"/>
      <w:b/>
      <w:bCs/>
      <w:spacing w:val="20"/>
      <w:sz w:val="20"/>
      <w:szCs w:val="20"/>
    </w:rPr>
  </w:style>
  <w:style w:type="paragraph" w:styleId="Sidhuvud">
    <w:name w:val="header"/>
    <w:basedOn w:val="Normal"/>
    <w:link w:val="SidhuvudChar"/>
    <w:uiPriority w:val="99"/>
    <w:unhideWhenUsed/>
    <w:rsid w:val="00894D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4DD7"/>
    <w:rPr>
      <w:rFonts w:ascii="Museo Sans Rounded 300" w:hAnsi="Museo Sans Rounded 300"/>
      <w:spacing w:val="20"/>
      <w:sz w:val="20"/>
      <w:szCs w:val="20"/>
    </w:rPr>
  </w:style>
  <w:style w:type="paragraph" w:styleId="Sidfot">
    <w:name w:val="footer"/>
    <w:basedOn w:val="Normal"/>
    <w:link w:val="SidfotChar"/>
    <w:uiPriority w:val="99"/>
    <w:unhideWhenUsed/>
    <w:rsid w:val="00894D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4DD7"/>
    <w:rPr>
      <w:rFonts w:ascii="Museo Sans Rounded 300" w:hAnsi="Museo Sans Rounded 300"/>
      <w:spacing w:val="20"/>
      <w:sz w:val="20"/>
      <w:szCs w:val="20"/>
    </w:rPr>
  </w:style>
  <w:style w:type="paragraph" w:styleId="Slutnotstext">
    <w:name w:val="endnote text"/>
    <w:basedOn w:val="Normal"/>
    <w:link w:val="SlutnotstextChar"/>
    <w:uiPriority w:val="99"/>
    <w:semiHidden/>
    <w:unhideWhenUsed/>
    <w:rsid w:val="001369E5"/>
    <w:pPr>
      <w:spacing w:after="0" w:line="240" w:lineRule="auto"/>
    </w:pPr>
  </w:style>
  <w:style w:type="character" w:customStyle="1" w:styleId="SlutnotstextChar">
    <w:name w:val="Slutnotstext Char"/>
    <w:basedOn w:val="Standardstycketeckensnitt"/>
    <w:link w:val="Slutnotstext"/>
    <w:uiPriority w:val="99"/>
    <w:semiHidden/>
    <w:rsid w:val="001369E5"/>
    <w:rPr>
      <w:rFonts w:ascii="Museo Sans Rounded 300" w:hAnsi="Museo Sans Rounded 300"/>
      <w:spacing w:val="20"/>
      <w:sz w:val="20"/>
      <w:szCs w:val="20"/>
    </w:rPr>
  </w:style>
  <w:style w:type="character" w:styleId="Slutnotsreferens">
    <w:name w:val="endnote reference"/>
    <w:basedOn w:val="Standardstycketeckensnitt"/>
    <w:uiPriority w:val="99"/>
    <w:semiHidden/>
    <w:unhideWhenUsed/>
    <w:rsid w:val="001369E5"/>
    <w:rPr>
      <w:vertAlign w:val="superscript"/>
    </w:rPr>
  </w:style>
  <w:style w:type="character" w:customStyle="1" w:styleId="Nmn1">
    <w:name w:val="Nämn1"/>
    <w:basedOn w:val="Standardstycketeckensnitt"/>
    <w:uiPriority w:val="99"/>
    <w:unhideWhenUsed/>
    <w:rsid w:val="00E052ED"/>
    <w:rPr>
      <w:color w:val="2B579A"/>
      <w:shd w:val="clear" w:color="auto" w:fill="E1DFDD"/>
    </w:rPr>
  </w:style>
  <w:style w:type="paragraph" w:styleId="Revision">
    <w:name w:val="Revision"/>
    <w:hidden/>
    <w:uiPriority w:val="99"/>
    <w:semiHidden/>
    <w:rsid w:val="009E43F4"/>
    <w:pPr>
      <w:spacing w:after="0" w:line="240" w:lineRule="auto"/>
    </w:pPr>
    <w:rPr>
      <w:rFonts w:ascii="Museo Sans Rounded 300" w:hAnsi="Museo Sans Rounded 300"/>
      <w:spacing w:val="20"/>
      <w:sz w:val="20"/>
      <w:szCs w:val="20"/>
    </w:rPr>
  </w:style>
  <w:style w:type="character" w:styleId="AnvndHyperlnk">
    <w:name w:val="FollowedHyperlink"/>
    <w:basedOn w:val="Standardstycketeckensnitt"/>
    <w:uiPriority w:val="99"/>
    <w:semiHidden/>
    <w:unhideWhenUsed/>
    <w:rsid w:val="009E43F4"/>
    <w:rPr>
      <w:color w:val="954F72" w:themeColor="followedHyperlink"/>
      <w:u w:val="single"/>
    </w:rPr>
  </w:style>
  <w:style w:type="paragraph" w:styleId="Ballongtext">
    <w:name w:val="Balloon Text"/>
    <w:basedOn w:val="Normal"/>
    <w:link w:val="BallongtextChar"/>
    <w:uiPriority w:val="99"/>
    <w:semiHidden/>
    <w:unhideWhenUsed/>
    <w:rsid w:val="00931A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1AFC"/>
    <w:rPr>
      <w:rFonts w:ascii="Segoe UI" w:hAnsi="Segoe UI" w:cs="Segoe UI"/>
      <w:spacing w:val="20"/>
      <w:sz w:val="18"/>
      <w:szCs w:val="18"/>
    </w:rPr>
  </w:style>
  <w:style w:type="character" w:customStyle="1" w:styleId="Olstomnmnande2">
    <w:name w:val="Olöst omnämnande2"/>
    <w:basedOn w:val="Standardstycketeckensnitt"/>
    <w:uiPriority w:val="99"/>
    <w:semiHidden/>
    <w:unhideWhenUsed/>
    <w:rsid w:val="00C82FEC"/>
    <w:rPr>
      <w:color w:val="605E5C"/>
      <w:shd w:val="clear" w:color="auto" w:fill="E1DFDD"/>
    </w:rPr>
  </w:style>
  <w:style w:type="character" w:customStyle="1" w:styleId="Mention1">
    <w:name w:val="Mention1"/>
    <w:basedOn w:val="Standardstycketeckensnitt"/>
    <w:uiPriority w:val="99"/>
    <w:unhideWhenUsed/>
    <w:rsid w:val="00E64FC4"/>
    <w:rPr>
      <w:color w:val="2B579A"/>
      <w:shd w:val="clear" w:color="auto" w:fill="E1DFDD"/>
    </w:rPr>
  </w:style>
  <w:style w:type="character" w:customStyle="1" w:styleId="UnresolvedMention1">
    <w:name w:val="Unresolved Mention1"/>
    <w:basedOn w:val="Standardstycketeckensnitt"/>
    <w:uiPriority w:val="99"/>
    <w:semiHidden/>
    <w:unhideWhenUsed/>
    <w:rsid w:val="00B04ABB"/>
    <w:rPr>
      <w:color w:val="605E5C"/>
      <w:shd w:val="clear" w:color="auto" w:fill="E1DFDD"/>
    </w:rPr>
  </w:style>
  <w:style w:type="character" w:customStyle="1" w:styleId="cf01">
    <w:name w:val="cf01"/>
    <w:basedOn w:val="Standardstycketeckensnitt"/>
    <w:rsid w:val="006E1FCB"/>
    <w:rPr>
      <w:rFonts w:ascii="Segoe UI" w:hAnsi="Segoe UI" w:cs="Segoe UI" w:hint="default"/>
      <w:sz w:val="18"/>
      <w:szCs w:val="18"/>
    </w:rPr>
  </w:style>
  <w:style w:type="table" w:styleId="Rutntstabell1ljusdekorfrg1">
    <w:name w:val="Grid Table 1 Light Accent 1"/>
    <w:basedOn w:val="Normaltabell"/>
    <w:uiPriority w:val="46"/>
    <w:rsid w:val="00D92350"/>
    <w:pPr>
      <w:spacing w:after="0" w:line="240" w:lineRule="auto"/>
    </w:pPr>
    <w:tblPr>
      <w:tblStyleRowBandSize w:val="1"/>
      <w:tblStyleColBandSize w:val="1"/>
      <w:tblBorders>
        <w:top w:val="single" w:sz="4" w:space="0" w:color="F9BCA9" w:themeColor="accent1" w:themeTint="66"/>
        <w:left w:val="single" w:sz="4" w:space="0" w:color="F9BCA9" w:themeColor="accent1" w:themeTint="66"/>
        <w:bottom w:val="single" w:sz="4" w:space="0" w:color="F9BCA9" w:themeColor="accent1" w:themeTint="66"/>
        <w:right w:val="single" w:sz="4" w:space="0" w:color="F9BCA9" w:themeColor="accent1" w:themeTint="66"/>
        <w:insideH w:val="single" w:sz="4" w:space="0" w:color="F9BCA9" w:themeColor="accent1" w:themeTint="66"/>
        <w:insideV w:val="single" w:sz="4" w:space="0" w:color="F9BCA9" w:themeColor="accent1" w:themeTint="66"/>
      </w:tblBorders>
    </w:tblPr>
    <w:tblStylePr w:type="firstRow">
      <w:rPr>
        <w:b/>
        <w:bCs/>
      </w:rPr>
      <w:tblPr/>
      <w:tcPr>
        <w:tcBorders>
          <w:bottom w:val="single" w:sz="12" w:space="0" w:color="F69B7E" w:themeColor="accent1" w:themeTint="99"/>
        </w:tcBorders>
      </w:tcPr>
    </w:tblStylePr>
    <w:tblStylePr w:type="lastRow">
      <w:rPr>
        <w:b/>
        <w:bCs/>
      </w:rPr>
      <w:tblPr/>
      <w:tcPr>
        <w:tcBorders>
          <w:top w:val="double" w:sz="2" w:space="0" w:color="F69B7E" w:themeColor="accent1"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D92350"/>
    <w:pPr>
      <w:spacing w:after="0" w:line="240" w:lineRule="auto"/>
    </w:pPr>
    <w:tblPr>
      <w:tblStyleRowBandSize w:val="1"/>
      <w:tblStyleColBandSize w:val="1"/>
      <w:tblBorders>
        <w:top w:val="single" w:sz="4" w:space="0" w:color="F69B7E" w:themeColor="accent1" w:themeTint="99"/>
        <w:left w:val="single" w:sz="4" w:space="0" w:color="F69B7E" w:themeColor="accent1" w:themeTint="99"/>
        <w:bottom w:val="single" w:sz="4" w:space="0" w:color="F69B7E" w:themeColor="accent1" w:themeTint="99"/>
        <w:right w:val="single" w:sz="4" w:space="0" w:color="F69B7E" w:themeColor="accent1" w:themeTint="99"/>
        <w:insideH w:val="single" w:sz="4" w:space="0" w:color="F69B7E" w:themeColor="accent1" w:themeTint="99"/>
        <w:insideV w:val="single" w:sz="4" w:space="0" w:color="F69B7E" w:themeColor="accent1" w:themeTint="99"/>
      </w:tblBorders>
    </w:tblPr>
    <w:tblStylePr w:type="firstRow">
      <w:rPr>
        <w:b/>
        <w:bCs/>
        <w:color w:val="FFFFFF" w:themeColor="background1"/>
      </w:rPr>
      <w:tblPr/>
      <w:tcPr>
        <w:tcBorders>
          <w:top w:val="single" w:sz="4" w:space="0" w:color="F05A28" w:themeColor="accent1"/>
          <w:left w:val="single" w:sz="4" w:space="0" w:color="F05A28" w:themeColor="accent1"/>
          <w:bottom w:val="single" w:sz="4" w:space="0" w:color="F05A28" w:themeColor="accent1"/>
          <w:right w:val="single" w:sz="4" w:space="0" w:color="F05A28" w:themeColor="accent1"/>
          <w:insideH w:val="nil"/>
          <w:insideV w:val="nil"/>
        </w:tcBorders>
        <w:shd w:val="clear" w:color="auto" w:fill="F05A28" w:themeFill="accent1"/>
      </w:tcPr>
    </w:tblStylePr>
    <w:tblStylePr w:type="lastRow">
      <w:rPr>
        <w:b/>
        <w:bCs/>
      </w:rPr>
      <w:tblPr/>
      <w:tcPr>
        <w:tcBorders>
          <w:top w:val="double" w:sz="4" w:space="0" w:color="F05A28" w:themeColor="accent1"/>
        </w:tcBorders>
      </w:tcPr>
    </w:tblStylePr>
    <w:tblStylePr w:type="firstCol">
      <w:rPr>
        <w:b/>
        <w:bCs/>
      </w:rPr>
    </w:tblStylePr>
    <w:tblStylePr w:type="lastCol">
      <w:rPr>
        <w:b/>
        <w:bCs/>
      </w:rPr>
    </w:tblStylePr>
    <w:tblStylePr w:type="band1Vert">
      <w:tblPr/>
      <w:tcPr>
        <w:shd w:val="clear" w:color="auto" w:fill="FCDDD4" w:themeFill="accent1" w:themeFillTint="33"/>
      </w:tcPr>
    </w:tblStylePr>
    <w:tblStylePr w:type="band1Horz">
      <w:tblPr/>
      <w:tcPr>
        <w:shd w:val="clear" w:color="auto" w:fill="FCDDD4" w:themeFill="accent1" w:themeFillTint="33"/>
      </w:tcPr>
    </w:tblStylePr>
  </w:style>
  <w:style w:type="character" w:customStyle="1" w:styleId="UnresolvedMention2">
    <w:name w:val="Unresolved Mention2"/>
    <w:basedOn w:val="Standardstycketeckensnitt"/>
    <w:uiPriority w:val="99"/>
    <w:semiHidden/>
    <w:unhideWhenUsed/>
    <w:rsid w:val="004E4CE1"/>
    <w:rPr>
      <w:color w:val="605E5C"/>
      <w:shd w:val="clear" w:color="auto" w:fill="E1DFDD"/>
    </w:rPr>
  </w:style>
  <w:style w:type="character" w:styleId="Platshllartext">
    <w:name w:val="Placeholder Text"/>
    <w:basedOn w:val="Standardstycketeckensnitt"/>
    <w:uiPriority w:val="99"/>
    <w:semiHidden/>
    <w:rsid w:val="00863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204">
      <w:bodyDiv w:val="1"/>
      <w:marLeft w:val="0"/>
      <w:marRight w:val="0"/>
      <w:marTop w:val="0"/>
      <w:marBottom w:val="0"/>
      <w:divBdr>
        <w:top w:val="none" w:sz="0" w:space="0" w:color="auto"/>
        <w:left w:val="none" w:sz="0" w:space="0" w:color="auto"/>
        <w:bottom w:val="none" w:sz="0" w:space="0" w:color="auto"/>
        <w:right w:val="none" w:sz="0" w:space="0" w:color="auto"/>
      </w:divBdr>
    </w:div>
    <w:div w:id="41753490">
      <w:bodyDiv w:val="1"/>
      <w:marLeft w:val="0"/>
      <w:marRight w:val="0"/>
      <w:marTop w:val="0"/>
      <w:marBottom w:val="0"/>
      <w:divBdr>
        <w:top w:val="none" w:sz="0" w:space="0" w:color="auto"/>
        <w:left w:val="none" w:sz="0" w:space="0" w:color="auto"/>
        <w:bottom w:val="none" w:sz="0" w:space="0" w:color="auto"/>
        <w:right w:val="none" w:sz="0" w:space="0" w:color="auto"/>
      </w:divBdr>
    </w:div>
    <w:div w:id="56247552">
      <w:bodyDiv w:val="1"/>
      <w:marLeft w:val="0"/>
      <w:marRight w:val="0"/>
      <w:marTop w:val="0"/>
      <w:marBottom w:val="0"/>
      <w:divBdr>
        <w:top w:val="none" w:sz="0" w:space="0" w:color="auto"/>
        <w:left w:val="none" w:sz="0" w:space="0" w:color="auto"/>
        <w:bottom w:val="none" w:sz="0" w:space="0" w:color="auto"/>
        <w:right w:val="none" w:sz="0" w:space="0" w:color="auto"/>
      </w:divBdr>
    </w:div>
    <w:div w:id="59527193">
      <w:bodyDiv w:val="1"/>
      <w:marLeft w:val="0"/>
      <w:marRight w:val="0"/>
      <w:marTop w:val="0"/>
      <w:marBottom w:val="0"/>
      <w:divBdr>
        <w:top w:val="none" w:sz="0" w:space="0" w:color="auto"/>
        <w:left w:val="none" w:sz="0" w:space="0" w:color="auto"/>
        <w:bottom w:val="none" w:sz="0" w:space="0" w:color="auto"/>
        <w:right w:val="none" w:sz="0" w:space="0" w:color="auto"/>
      </w:divBdr>
    </w:div>
    <w:div w:id="134372677">
      <w:bodyDiv w:val="1"/>
      <w:marLeft w:val="0"/>
      <w:marRight w:val="0"/>
      <w:marTop w:val="0"/>
      <w:marBottom w:val="0"/>
      <w:divBdr>
        <w:top w:val="none" w:sz="0" w:space="0" w:color="auto"/>
        <w:left w:val="none" w:sz="0" w:space="0" w:color="auto"/>
        <w:bottom w:val="none" w:sz="0" w:space="0" w:color="auto"/>
        <w:right w:val="none" w:sz="0" w:space="0" w:color="auto"/>
      </w:divBdr>
    </w:div>
    <w:div w:id="147670080">
      <w:bodyDiv w:val="1"/>
      <w:marLeft w:val="0"/>
      <w:marRight w:val="0"/>
      <w:marTop w:val="0"/>
      <w:marBottom w:val="0"/>
      <w:divBdr>
        <w:top w:val="none" w:sz="0" w:space="0" w:color="auto"/>
        <w:left w:val="none" w:sz="0" w:space="0" w:color="auto"/>
        <w:bottom w:val="none" w:sz="0" w:space="0" w:color="auto"/>
        <w:right w:val="none" w:sz="0" w:space="0" w:color="auto"/>
      </w:divBdr>
    </w:div>
    <w:div w:id="198474937">
      <w:bodyDiv w:val="1"/>
      <w:marLeft w:val="0"/>
      <w:marRight w:val="0"/>
      <w:marTop w:val="0"/>
      <w:marBottom w:val="0"/>
      <w:divBdr>
        <w:top w:val="none" w:sz="0" w:space="0" w:color="auto"/>
        <w:left w:val="none" w:sz="0" w:space="0" w:color="auto"/>
        <w:bottom w:val="none" w:sz="0" w:space="0" w:color="auto"/>
        <w:right w:val="none" w:sz="0" w:space="0" w:color="auto"/>
      </w:divBdr>
    </w:div>
    <w:div w:id="217934110">
      <w:bodyDiv w:val="1"/>
      <w:marLeft w:val="0"/>
      <w:marRight w:val="0"/>
      <w:marTop w:val="0"/>
      <w:marBottom w:val="0"/>
      <w:divBdr>
        <w:top w:val="none" w:sz="0" w:space="0" w:color="auto"/>
        <w:left w:val="none" w:sz="0" w:space="0" w:color="auto"/>
        <w:bottom w:val="none" w:sz="0" w:space="0" w:color="auto"/>
        <w:right w:val="none" w:sz="0" w:space="0" w:color="auto"/>
      </w:divBdr>
    </w:div>
    <w:div w:id="217982902">
      <w:bodyDiv w:val="1"/>
      <w:marLeft w:val="0"/>
      <w:marRight w:val="0"/>
      <w:marTop w:val="0"/>
      <w:marBottom w:val="0"/>
      <w:divBdr>
        <w:top w:val="none" w:sz="0" w:space="0" w:color="auto"/>
        <w:left w:val="none" w:sz="0" w:space="0" w:color="auto"/>
        <w:bottom w:val="none" w:sz="0" w:space="0" w:color="auto"/>
        <w:right w:val="none" w:sz="0" w:space="0" w:color="auto"/>
      </w:divBdr>
    </w:div>
    <w:div w:id="321199991">
      <w:bodyDiv w:val="1"/>
      <w:marLeft w:val="0"/>
      <w:marRight w:val="0"/>
      <w:marTop w:val="0"/>
      <w:marBottom w:val="0"/>
      <w:divBdr>
        <w:top w:val="none" w:sz="0" w:space="0" w:color="auto"/>
        <w:left w:val="none" w:sz="0" w:space="0" w:color="auto"/>
        <w:bottom w:val="none" w:sz="0" w:space="0" w:color="auto"/>
        <w:right w:val="none" w:sz="0" w:space="0" w:color="auto"/>
      </w:divBdr>
    </w:div>
    <w:div w:id="338778451">
      <w:bodyDiv w:val="1"/>
      <w:marLeft w:val="0"/>
      <w:marRight w:val="0"/>
      <w:marTop w:val="0"/>
      <w:marBottom w:val="0"/>
      <w:divBdr>
        <w:top w:val="none" w:sz="0" w:space="0" w:color="auto"/>
        <w:left w:val="none" w:sz="0" w:space="0" w:color="auto"/>
        <w:bottom w:val="none" w:sz="0" w:space="0" w:color="auto"/>
        <w:right w:val="none" w:sz="0" w:space="0" w:color="auto"/>
      </w:divBdr>
    </w:div>
    <w:div w:id="372269967">
      <w:bodyDiv w:val="1"/>
      <w:marLeft w:val="0"/>
      <w:marRight w:val="0"/>
      <w:marTop w:val="0"/>
      <w:marBottom w:val="0"/>
      <w:divBdr>
        <w:top w:val="none" w:sz="0" w:space="0" w:color="auto"/>
        <w:left w:val="none" w:sz="0" w:space="0" w:color="auto"/>
        <w:bottom w:val="none" w:sz="0" w:space="0" w:color="auto"/>
        <w:right w:val="none" w:sz="0" w:space="0" w:color="auto"/>
      </w:divBdr>
    </w:div>
    <w:div w:id="423379644">
      <w:bodyDiv w:val="1"/>
      <w:marLeft w:val="0"/>
      <w:marRight w:val="0"/>
      <w:marTop w:val="0"/>
      <w:marBottom w:val="0"/>
      <w:divBdr>
        <w:top w:val="none" w:sz="0" w:space="0" w:color="auto"/>
        <w:left w:val="none" w:sz="0" w:space="0" w:color="auto"/>
        <w:bottom w:val="none" w:sz="0" w:space="0" w:color="auto"/>
        <w:right w:val="none" w:sz="0" w:space="0" w:color="auto"/>
      </w:divBdr>
    </w:div>
    <w:div w:id="427311599">
      <w:bodyDiv w:val="1"/>
      <w:marLeft w:val="0"/>
      <w:marRight w:val="0"/>
      <w:marTop w:val="0"/>
      <w:marBottom w:val="0"/>
      <w:divBdr>
        <w:top w:val="none" w:sz="0" w:space="0" w:color="auto"/>
        <w:left w:val="none" w:sz="0" w:space="0" w:color="auto"/>
        <w:bottom w:val="none" w:sz="0" w:space="0" w:color="auto"/>
        <w:right w:val="none" w:sz="0" w:space="0" w:color="auto"/>
      </w:divBdr>
    </w:div>
    <w:div w:id="432749748">
      <w:bodyDiv w:val="1"/>
      <w:marLeft w:val="0"/>
      <w:marRight w:val="0"/>
      <w:marTop w:val="0"/>
      <w:marBottom w:val="0"/>
      <w:divBdr>
        <w:top w:val="none" w:sz="0" w:space="0" w:color="auto"/>
        <w:left w:val="none" w:sz="0" w:space="0" w:color="auto"/>
        <w:bottom w:val="none" w:sz="0" w:space="0" w:color="auto"/>
        <w:right w:val="none" w:sz="0" w:space="0" w:color="auto"/>
      </w:divBdr>
    </w:div>
    <w:div w:id="439183339">
      <w:bodyDiv w:val="1"/>
      <w:marLeft w:val="0"/>
      <w:marRight w:val="0"/>
      <w:marTop w:val="0"/>
      <w:marBottom w:val="0"/>
      <w:divBdr>
        <w:top w:val="none" w:sz="0" w:space="0" w:color="auto"/>
        <w:left w:val="none" w:sz="0" w:space="0" w:color="auto"/>
        <w:bottom w:val="none" w:sz="0" w:space="0" w:color="auto"/>
        <w:right w:val="none" w:sz="0" w:space="0" w:color="auto"/>
      </w:divBdr>
    </w:div>
    <w:div w:id="476997796">
      <w:bodyDiv w:val="1"/>
      <w:marLeft w:val="0"/>
      <w:marRight w:val="0"/>
      <w:marTop w:val="0"/>
      <w:marBottom w:val="0"/>
      <w:divBdr>
        <w:top w:val="none" w:sz="0" w:space="0" w:color="auto"/>
        <w:left w:val="none" w:sz="0" w:space="0" w:color="auto"/>
        <w:bottom w:val="none" w:sz="0" w:space="0" w:color="auto"/>
        <w:right w:val="none" w:sz="0" w:space="0" w:color="auto"/>
      </w:divBdr>
    </w:div>
    <w:div w:id="544758756">
      <w:bodyDiv w:val="1"/>
      <w:marLeft w:val="0"/>
      <w:marRight w:val="0"/>
      <w:marTop w:val="0"/>
      <w:marBottom w:val="0"/>
      <w:divBdr>
        <w:top w:val="none" w:sz="0" w:space="0" w:color="auto"/>
        <w:left w:val="none" w:sz="0" w:space="0" w:color="auto"/>
        <w:bottom w:val="none" w:sz="0" w:space="0" w:color="auto"/>
        <w:right w:val="none" w:sz="0" w:space="0" w:color="auto"/>
      </w:divBdr>
    </w:div>
    <w:div w:id="545338223">
      <w:bodyDiv w:val="1"/>
      <w:marLeft w:val="0"/>
      <w:marRight w:val="0"/>
      <w:marTop w:val="0"/>
      <w:marBottom w:val="0"/>
      <w:divBdr>
        <w:top w:val="none" w:sz="0" w:space="0" w:color="auto"/>
        <w:left w:val="none" w:sz="0" w:space="0" w:color="auto"/>
        <w:bottom w:val="none" w:sz="0" w:space="0" w:color="auto"/>
        <w:right w:val="none" w:sz="0" w:space="0" w:color="auto"/>
      </w:divBdr>
    </w:div>
    <w:div w:id="576986670">
      <w:bodyDiv w:val="1"/>
      <w:marLeft w:val="0"/>
      <w:marRight w:val="0"/>
      <w:marTop w:val="0"/>
      <w:marBottom w:val="0"/>
      <w:divBdr>
        <w:top w:val="none" w:sz="0" w:space="0" w:color="auto"/>
        <w:left w:val="none" w:sz="0" w:space="0" w:color="auto"/>
        <w:bottom w:val="none" w:sz="0" w:space="0" w:color="auto"/>
        <w:right w:val="none" w:sz="0" w:space="0" w:color="auto"/>
      </w:divBdr>
    </w:div>
    <w:div w:id="630481210">
      <w:bodyDiv w:val="1"/>
      <w:marLeft w:val="0"/>
      <w:marRight w:val="0"/>
      <w:marTop w:val="0"/>
      <w:marBottom w:val="0"/>
      <w:divBdr>
        <w:top w:val="none" w:sz="0" w:space="0" w:color="auto"/>
        <w:left w:val="none" w:sz="0" w:space="0" w:color="auto"/>
        <w:bottom w:val="none" w:sz="0" w:space="0" w:color="auto"/>
        <w:right w:val="none" w:sz="0" w:space="0" w:color="auto"/>
      </w:divBdr>
    </w:div>
    <w:div w:id="663049778">
      <w:bodyDiv w:val="1"/>
      <w:marLeft w:val="0"/>
      <w:marRight w:val="0"/>
      <w:marTop w:val="0"/>
      <w:marBottom w:val="0"/>
      <w:divBdr>
        <w:top w:val="none" w:sz="0" w:space="0" w:color="auto"/>
        <w:left w:val="none" w:sz="0" w:space="0" w:color="auto"/>
        <w:bottom w:val="none" w:sz="0" w:space="0" w:color="auto"/>
        <w:right w:val="none" w:sz="0" w:space="0" w:color="auto"/>
      </w:divBdr>
    </w:div>
    <w:div w:id="665673322">
      <w:bodyDiv w:val="1"/>
      <w:marLeft w:val="0"/>
      <w:marRight w:val="0"/>
      <w:marTop w:val="0"/>
      <w:marBottom w:val="0"/>
      <w:divBdr>
        <w:top w:val="none" w:sz="0" w:space="0" w:color="auto"/>
        <w:left w:val="none" w:sz="0" w:space="0" w:color="auto"/>
        <w:bottom w:val="none" w:sz="0" w:space="0" w:color="auto"/>
        <w:right w:val="none" w:sz="0" w:space="0" w:color="auto"/>
      </w:divBdr>
    </w:div>
    <w:div w:id="731579137">
      <w:bodyDiv w:val="1"/>
      <w:marLeft w:val="0"/>
      <w:marRight w:val="0"/>
      <w:marTop w:val="0"/>
      <w:marBottom w:val="0"/>
      <w:divBdr>
        <w:top w:val="none" w:sz="0" w:space="0" w:color="auto"/>
        <w:left w:val="none" w:sz="0" w:space="0" w:color="auto"/>
        <w:bottom w:val="none" w:sz="0" w:space="0" w:color="auto"/>
        <w:right w:val="none" w:sz="0" w:space="0" w:color="auto"/>
      </w:divBdr>
    </w:div>
    <w:div w:id="892279499">
      <w:bodyDiv w:val="1"/>
      <w:marLeft w:val="0"/>
      <w:marRight w:val="0"/>
      <w:marTop w:val="0"/>
      <w:marBottom w:val="0"/>
      <w:divBdr>
        <w:top w:val="none" w:sz="0" w:space="0" w:color="auto"/>
        <w:left w:val="none" w:sz="0" w:space="0" w:color="auto"/>
        <w:bottom w:val="none" w:sz="0" w:space="0" w:color="auto"/>
        <w:right w:val="none" w:sz="0" w:space="0" w:color="auto"/>
      </w:divBdr>
    </w:div>
    <w:div w:id="942955597">
      <w:bodyDiv w:val="1"/>
      <w:marLeft w:val="0"/>
      <w:marRight w:val="0"/>
      <w:marTop w:val="0"/>
      <w:marBottom w:val="0"/>
      <w:divBdr>
        <w:top w:val="none" w:sz="0" w:space="0" w:color="auto"/>
        <w:left w:val="none" w:sz="0" w:space="0" w:color="auto"/>
        <w:bottom w:val="none" w:sz="0" w:space="0" w:color="auto"/>
        <w:right w:val="none" w:sz="0" w:space="0" w:color="auto"/>
      </w:divBdr>
    </w:div>
    <w:div w:id="961810322">
      <w:bodyDiv w:val="1"/>
      <w:marLeft w:val="0"/>
      <w:marRight w:val="0"/>
      <w:marTop w:val="0"/>
      <w:marBottom w:val="0"/>
      <w:divBdr>
        <w:top w:val="none" w:sz="0" w:space="0" w:color="auto"/>
        <w:left w:val="none" w:sz="0" w:space="0" w:color="auto"/>
        <w:bottom w:val="none" w:sz="0" w:space="0" w:color="auto"/>
        <w:right w:val="none" w:sz="0" w:space="0" w:color="auto"/>
      </w:divBdr>
    </w:div>
    <w:div w:id="978455165">
      <w:bodyDiv w:val="1"/>
      <w:marLeft w:val="0"/>
      <w:marRight w:val="0"/>
      <w:marTop w:val="0"/>
      <w:marBottom w:val="0"/>
      <w:divBdr>
        <w:top w:val="none" w:sz="0" w:space="0" w:color="auto"/>
        <w:left w:val="none" w:sz="0" w:space="0" w:color="auto"/>
        <w:bottom w:val="none" w:sz="0" w:space="0" w:color="auto"/>
        <w:right w:val="none" w:sz="0" w:space="0" w:color="auto"/>
      </w:divBdr>
    </w:div>
    <w:div w:id="991370506">
      <w:bodyDiv w:val="1"/>
      <w:marLeft w:val="0"/>
      <w:marRight w:val="0"/>
      <w:marTop w:val="0"/>
      <w:marBottom w:val="0"/>
      <w:divBdr>
        <w:top w:val="none" w:sz="0" w:space="0" w:color="auto"/>
        <w:left w:val="none" w:sz="0" w:space="0" w:color="auto"/>
        <w:bottom w:val="none" w:sz="0" w:space="0" w:color="auto"/>
        <w:right w:val="none" w:sz="0" w:space="0" w:color="auto"/>
      </w:divBdr>
    </w:div>
    <w:div w:id="1020667626">
      <w:bodyDiv w:val="1"/>
      <w:marLeft w:val="0"/>
      <w:marRight w:val="0"/>
      <w:marTop w:val="0"/>
      <w:marBottom w:val="0"/>
      <w:divBdr>
        <w:top w:val="none" w:sz="0" w:space="0" w:color="auto"/>
        <w:left w:val="none" w:sz="0" w:space="0" w:color="auto"/>
        <w:bottom w:val="none" w:sz="0" w:space="0" w:color="auto"/>
        <w:right w:val="none" w:sz="0" w:space="0" w:color="auto"/>
      </w:divBdr>
    </w:div>
    <w:div w:id="1041052886">
      <w:bodyDiv w:val="1"/>
      <w:marLeft w:val="0"/>
      <w:marRight w:val="0"/>
      <w:marTop w:val="0"/>
      <w:marBottom w:val="0"/>
      <w:divBdr>
        <w:top w:val="none" w:sz="0" w:space="0" w:color="auto"/>
        <w:left w:val="none" w:sz="0" w:space="0" w:color="auto"/>
        <w:bottom w:val="none" w:sz="0" w:space="0" w:color="auto"/>
        <w:right w:val="none" w:sz="0" w:space="0" w:color="auto"/>
      </w:divBdr>
    </w:div>
    <w:div w:id="1043673215">
      <w:bodyDiv w:val="1"/>
      <w:marLeft w:val="0"/>
      <w:marRight w:val="0"/>
      <w:marTop w:val="0"/>
      <w:marBottom w:val="0"/>
      <w:divBdr>
        <w:top w:val="none" w:sz="0" w:space="0" w:color="auto"/>
        <w:left w:val="none" w:sz="0" w:space="0" w:color="auto"/>
        <w:bottom w:val="none" w:sz="0" w:space="0" w:color="auto"/>
        <w:right w:val="none" w:sz="0" w:space="0" w:color="auto"/>
      </w:divBdr>
    </w:div>
    <w:div w:id="1074469952">
      <w:bodyDiv w:val="1"/>
      <w:marLeft w:val="0"/>
      <w:marRight w:val="0"/>
      <w:marTop w:val="0"/>
      <w:marBottom w:val="0"/>
      <w:divBdr>
        <w:top w:val="none" w:sz="0" w:space="0" w:color="auto"/>
        <w:left w:val="none" w:sz="0" w:space="0" w:color="auto"/>
        <w:bottom w:val="none" w:sz="0" w:space="0" w:color="auto"/>
        <w:right w:val="none" w:sz="0" w:space="0" w:color="auto"/>
      </w:divBdr>
    </w:div>
    <w:div w:id="1084648436">
      <w:bodyDiv w:val="1"/>
      <w:marLeft w:val="0"/>
      <w:marRight w:val="0"/>
      <w:marTop w:val="0"/>
      <w:marBottom w:val="0"/>
      <w:divBdr>
        <w:top w:val="none" w:sz="0" w:space="0" w:color="auto"/>
        <w:left w:val="none" w:sz="0" w:space="0" w:color="auto"/>
        <w:bottom w:val="none" w:sz="0" w:space="0" w:color="auto"/>
        <w:right w:val="none" w:sz="0" w:space="0" w:color="auto"/>
      </w:divBdr>
    </w:div>
    <w:div w:id="1118985834">
      <w:bodyDiv w:val="1"/>
      <w:marLeft w:val="0"/>
      <w:marRight w:val="0"/>
      <w:marTop w:val="0"/>
      <w:marBottom w:val="0"/>
      <w:divBdr>
        <w:top w:val="none" w:sz="0" w:space="0" w:color="auto"/>
        <w:left w:val="none" w:sz="0" w:space="0" w:color="auto"/>
        <w:bottom w:val="none" w:sz="0" w:space="0" w:color="auto"/>
        <w:right w:val="none" w:sz="0" w:space="0" w:color="auto"/>
      </w:divBdr>
    </w:div>
    <w:div w:id="1120102116">
      <w:bodyDiv w:val="1"/>
      <w:marLeft w:val="0"/>
      <w:marRight w:val="0"/>
      <w:marTop w:val="0"/>
      <w:marBottom w:val="0"/>
      <w:divBdr>
        <w:top w:val="none" w:sz="0" w:space="0" w:color="auto"/>
        <w:left w:val="none" w:sz="0" w:space="0" w:color="auto"/>
        <w:bottom w:val="none" w:sz="0" w:space="0" w:color="auto"/>
        <w:right w:val="none" w:sz="0" w:space="0" w:color="auto"/>
      </w:divBdr>
    </w:div>
    <w:div w:id="1149513905">
      <w:bodyDiv w:val="1"/>
      <w:marLeft w:val="0"/>
      <w:marRight w:val="0"/>
      <w:marTop w:val="0"/>
      <w:marBottom w:val="0"/>
      <w:divBdr>
        <w:top w:val="none" w:sz="0" w:space="0" w:color="auto"/>
        <w:left w:val="none" w:sz="0" w:space="0" w:color="auto"/>
        <w:bottom w:val="none" w:sz="0" w:space="0" w:color="auto"/>
        <w:right w:val="none" w:sz="0" w:space="0" w:color="auto"/>
      </w:divBdr>
    </w:div>
    <w:div w:id="1163936601">
      <w:bodyDiv w:val="1"/>
      <w:marLeft w:val="0"/>
      <w:marRight w:val="0"/>
      <w:marTop w:val="0"/>
      <w:marBottom w:val="0"/>
      <w:divBdr>
        <w:top w:val="none" w:sz="0" w:space="0" w:color="auto"/>
        <w:left w:val="none" w:sz="0" w:space="0" w:color="auto"/>
        <w:bottom w:val="none" w:sz="0" w:space="0" w:color="auto"/>
        <w:right w:val="none" w:sz="0" w:space="0" w:color="auto"/>
      </w:divBdr>
    </w:div>
    <w:div w:id="1279682547">
      <w:bodyDiv w:val="1"/>
      <w:marLeft w:val="0"/>
      <w:marRight w:val="0"/>
      <w:marTop w:val="0"/>
      <w:marBottom w:val="0"/>
      <w:divBdr>
        <w:top w:val="none" w:sz="0" w:space="0" w:color="auto"/>
        <w:left w:val="none" w:sz="0" w:space="0" w:color="auto"/>
        <w:bottom w:val="none" w:sz="0" w:space="0" w:color="auto"/>
        <w:right w:val="none" w:sz="0" w:space="0" w:color="auto"/>
      </w:divBdr>
    </w:div>
    <w:div w:id="1280063112">
      <w:bodyDiv w:val="1"/>
      <w:marLeft w:val="0"/>
      <w:marRight w:val="0"/>
      <w:marTop w:val="0"/>
      <w:marBottom w:val="0"/>
      <w:divBdr>
        <w:top w:val="none" w:sz="0" w:space="0" w:color="auto"/>
        <w:left w:val="none" w:sz="0" w:space="0" w:color="auto"/>
        <w:bottom w:val="none" w:sz="0" w:space="0" w:color="auto"/>
        <w:right w:val="none" w:sz="0" w:space="0" w:color="auto"/>
      </w:divBdr>
    </w:div>
    <w:div w:id="1304847851">
      <w:bodyDiv w:val="1"/>
      <w:marLeft w:val="0"/>
      <w:marRight w:val="0"/>
      <w:marTop w:val="0"/>
      <w:marBottom w:val="0"/>
      <w:divBdr>
        <w:top w:val="none" w:sz="0" w:space="0" w:color="auto"/>
        <w:left w:val="none" w:sz="0" w:space="0" w:color="auto"/>
        <w:bottom w:val="none" w:sz="0" w:space="0" w:color="auto"/>
        <w:right w:val="none" w:sz="0" w:space="0" w:color="auto"/>
      </w:divBdr>
    </w:div>
    <w:div w:id="1310013053">
      <w:bodyDiv w:val="1"/>
      <w:marLeft w:val="0"/>
      <w:marRight w:val="0"/>
      <w:marTop w:val="0"/>
      <w:marBottom w:val="0"/>
      <w:divBdr>
        <w:top w:val="none" w:sz="0" w:space="0" w:color="auto"/>
        <w:left w:val="none" w:sz="0" w:space="0" w:color="auto"/>
        <w:bottom w:val="none" w:sz="0" w:space="0" w:color="auto"/>
        <w:right w:val="none" w:sz="0" w:space="0" w:color="auto"/>
      </w:divBdr>
    </w:div>
    <w:div w:id="1318223414">
      <w:bodyDiv w:val="1"/>
      <w:marLeft w:val="0"/>
      <w:marRight w:val="0"/>
      <w:marTop w:val="0"/>
      <w:marBottom w:val="0"/>
      <w:divBdr>
        <w:top w:val="none" w:sz="0" w:space="0" w:color="auto"/>
        <w:left w:val="none" w:sz="0" w:space="0" w:color="auto"/>
        <w:bottom w:val="none" w:sz="0" w:space="0" w:color="auto"/>
        <w:right w:val="none" w:sz="0" w:space="0" w:color="auto"/>
      </w:divBdr>
    </w:div>
    <w:div w:id="1319967521">
      <w:bodyDiv w:val="1"/>
      <w:marLeft w:val="0"/>
      <w:marRight w:val="0"/>
      <w:marTop w:val="0"/>
      <w:marBottom w:val="0"/>
      <w:divBdr>
        <w:top w:val="none" w:sz="0" w:space="0" w:color="auto"/>
        <w:left w:val="none" w:sz="0" w:space="0" w:color="auto"/>
        <w:bottom w:val="none" w:sz="0" w:space="0" w:color="auto"/>
        <w:right w:val="none" w:sz="0" w:space="0" w:color="auto"/>
      </w:divBdr>
    </w:div>
    <w:div w:id="1349411363">
      <w:bodyDiv w:val="1"/>
      <w:marLeft w:val="0"/>
      <w:marRight w:val="0"/>
      <w:marTop w:val="0"/>
      <w:marBottom w:val="0"/>
      <w:divBdr>
        <w:top w:val="none" w:sz="0" w:space="0" w:color="auto"/>
        <w:left w:val="none" w:sz="0" w:space="0" w:color="auto"/>
        <w:bottom w:val="none" w:sz="0" w:space="0" w:color="auto"/>
        <w:right w:val="none" w:sz="0" w:space="0" w:color="auto"/>
      </w:divBdr>
    </w:div>
    <w:div w:id="1397315323">
      <w:bodyDiv w:val="1"/>
      <w:marLeft w:val="0"/>
      <w:marRight w:val="0"/>
      <w:marTop w:val="0"/>
      <w:marBottom w:val="0"/>
      <w:divBdr>
        <w:top w:val="none" w:sz="0" w:space="0" w:color="auto"/>
        <w:left w:val="none" w:sz="0" w:space="0" w:color="auto"/>
        <w:bottom w:val="none" w:sz="0" w:space="0" w:color="auto"/>
        <w:right w:val="none" w:sz="0" w:space="0" w:color="auto"/>
      </w:divBdr>
    </w:div>
    <w:div w:id="1421222562">
      <w:bodyDiv w:val="1"/>
      <w:marLeft w:val="0"/>
      <w:marRight w:val="0"/>
      <w:marTop w:val="0"/>
      <w:marBottom w:val="0"/>
      <w:divBdr>
        <w:top w:val="none" w:sz="0" w:space="0" w:color="auto"/>
        <w:left w:val="none" w:sz="0" w:space="0" w:color="auto"/>
        <w:bottom w:val="none" w:sz="0" w:space="0" w:color="auto"/>
        <w:right w:val="none" w:sz="0" w:space="0" w:color="auto"/>
      </w:divBdr>
    </w:div>
    <w:div w:id="1450586035">
      <w:bodyDiv w:val="1"/>
      <w:marLeft w:val="0"/>
      <w:marRight w:val="0"/>
      <w:marTop w:val="0"/>
      <w:marBottom w:val="0"/>
      <w:divBdr>
        <w:top w:val="none" w:sz="0" w:space="0" w:color="auto"/>
        <w:left w:val="none" w:sz="0" w:space="0" w:color="auto"/>
        <w:bottom w:val="none" w:sz="0" w:space="0" w:color="auto"/>
        <w:right w:val="none" w:sz="0" w:space="0" w:color="auto"/>
      </w:divBdr>
    </w:div>
    <w:div w:id="1561818681">
      <w:bodyDiv w:val="1"/>
      <w:marLeft w:val="0"/>
      <w:marRight w:val="0"/>
      <w:marTop w:val="0"/>
      <w:marBottom w:val="0"/>
      <w:divBdr>
        <w:top w:val="none" w:sz="0" w:space="0" w:color="auto"/>
        <w:left w:val="none" w:sz="0" w:space="0" w:color="auto"/>
        <w:bottom w:val="none" w:sz="0" w:space="0" w:color="auto"/>
        <w:right w:val="none" w:sz="0" w:space="0" w:color="auto"/>
      </w:divBdr>
    </w:div>
    <w:div w:id="1586648214">
      <w:bodyDiv w:val="1"/>
      <w:marLeft w:val="0"/>
      <w:marRight w:val="0"/>
      <w:marTop w:val="0"/>
      <w:marBottom w:val="0"/>
      <w:divBdr>
        <w:top w:val="none" w:sz="0" w:space="0" w:color="auto"/>
        <w:left w:val="none" w:sz="0" w:space="0" w:color="auto"/>
        <w:bottom w:val="none" w:sz="0" w:space="0" w:color="auto"/>
        <w:right w:val="none" w:sz="0" w:space="0" w:color="auto"/>
      </w:divBdr>
    </w:div>
    <w:div w:id="1590654987">
      <w:bodyDiv w:val="1"/>
      <w:marLeft w:val="0"/>
      <w:marRight w:val="0"/>
      <w:marTop w:val="0"/>
      <w:marBottom w:val="0"/>
      <w:divBdr>
        <w:top w:val="none" w:sz="0" w:space="0" w:color="auto"/>
        <w:left w:val="none" w:sz="0" w:space="0" w:color="auto"/>
        <w:bottom w:val="none" w:sz="0" w:space="0" w:color="auto"/>
        <w:right w:val="none" w:sz="0" w:space="0" w:color="auto"/>
      </w:divBdr>
    </w:div>
    <w:div w:id="1601913745">
      <w:bodyDiv w:val="1"/>
      <w:marLeft w:val="0"/>
      <w:marRight w:val="0"/>
      <w:marTop w:val="0"/>
      <w:marBottom w:val="0"/>
      <w:divBdr>
        <w:top w:val="none" w:sz="0" w:space="0" w:color="auto"/>
        <w:left w:val="none" w:sz="0" w:space="0" w:color="auto"/>
        <w:bottom w:val="none" w:sz="0" w:space="0" w:color="auto"/>
        <w:right w:val="none" w:sz="0" w:space="0" w:color="auto"/>
      </w:divBdr>
    </w:div>
    <w:div w:id="1619750198">
      <w:bodyDiv w:val="1"/>
      <w:marLeft w:val="0"/>
      <w:marRight w:val="0"/>
      <w:marTop w:val="0"/>
      <w:marBottom w:val="0"/>
      <w:divBdr>
        <w:top w:val="none" w:sz="0" w:space="0" w:color="auto"/>
        <w:left w:val="none" w:sz="0" w:space="0" w:color="auto"/>
        <w:bottom w:val="none" w:sz="0" w:space="0" w:color="auto"/>
        <w:right w:val="none" w:sz="0" w:space="0" w:color="auto"/>
      </w:divBdr>
    </w:div>
    <w:div w:id="1654217886">
      <w:bodyDiv w:val="1"/>
      <w:marLeft w:val="0"/>
      <w:marRight w:val="0"/>
      <w:marTop w:val="0"/>
      <w:marBottom w:val="0"/>
      <w:divBdr>
        <w:top w:val="none" w:sz="0" w:space="0" w:color="auto"/>
        <w:left w:val="none" w:sz="0" w:space="0" w:color="auto"/>
        <w:bottom w:val="none" w:sz="0" w:space="0" w:color="auto"/>
        <w:right w:val="none" w:sz="0" w:space="0" w:color="auto"/>
      </w:divBdr>
    </w:div>
    <w:div w:id="1662393165">
      <w:bodyDiv w:val="1"/>
      <w:marLeft w:val="0"/>
      <w:marRight w:val="0"/>
      <w:marTop w:val="0"/>
      <w:marBottom w:val="0"/>
      <w:divBdr>
        <w:top w:val="none" w:sz="0" w:space="0" w:color="auto"/>
        <w:left w:val="none" w:sz="0" w:space="0" w:color="auto"/>
        <w:bottom w:val="none" w:sz="0" w:space="0" w:color="auto"/>
        <w:right w:val="none" w:sz="0" w:space="0" w:color="auto"/>
      </w:divBdr>
    </w:div>
    <w:div w:id="1679767421">
      <w:bodyDiv w:val="1"/>
      <w:marLeft w:val="0"/>
      <w:marRight w:val="0"/>
      <w:marTop w:val="0"/>
      <w:marBottom w:val="0"/>
      <w:divBdr>
        <w:top w:val="none" w:sz="0" w:space="0" w:color="auto"/>
        <w:left w:val="none" w:sz="0" w:space="0" w:color="auto"/>
        <w:bottom w:val="none" w:sz="0" w:space="0" w:color="auto"/>
        <w:right w:val="none" w:sz="0" w:space="0" w:color="auto"/>
      </w:divBdr>
    </w:div>
    <w:div w:id="1684432582">
      <w:bodyDiv w:val="1"/>
      <w:marLeft w:val="0"/>
      <w:marRight w:val="0"/>
      <w:marTop w:val="0"/>
      <w:marBottom w:val="0"/>
      <w:divBdr>
        <w:top w:val="none" w:sz="0" w:space="0" w:color="auto"/>
        <w:left w:val="none" w:sz="0" w:space="0" w:color="auto"/>
        <w:bottom w:val="none" w:sz="0" w:space="0" w:color="auto"/>
        <w:right w:val="none" w:sz="0" w:space="0" w:color="auto"/>
      </w:divBdr>
    </w:div>
    <w:div w:id="1687098860">
      <w:bodyDiv w:val="1"/>
      <w:marLeft w:val="0"/>
      <w:marRight w:val="0"/>
      <w:marTop w:val="0"/>
      <w:marBottom w:val="0"/>
      <w:divBdr>
        <w:top w:val="none" w:sz="0" w:space="0" w:color="auto"/>
        <w:left w:val="none" w:sz="0" w:space="0" w:color="auto"/>
        <w:bottom w:val="none" w:sz="0" w:space="0" w:color="auto"/>
        <w:right w:val="none" w:sz="0" w:space="0" w:color="auto"/>
      </w:divBdr>
    </w:div>
    <w:div w:id="1709790601">
      <w:bodyDiv w:val="1"/>
      <w:marLeft w:val="0"/>
      <w:marRight w:val="0"/>
      <w:marTop w:val="0"/>
      <w:marBottom w:val="0"/>
      <w:divBdr>
        <w:top w:val="none" w:sz="0" w:space="0" w:color="auto"/>
        <w:left w:val="none" w:sz="0" w:space="0" w:color="auto"/>
        <w:bottom w:val="none" w:sz="0" w:space="0" w:color="auto"/>
        <w:right w:val="none" w:sz="0" w:space="0" w:color="auto"/>
      </w:divBdr>
    </w:div>
    <w:div w:id="1782719766">
      <w:bodyDiv w:val="1"/>
      <w:marLeft w:val="0"/>
      <w:marRight w:val="0"/>
      <w:marTop w:val="0"/>
      <w:marBottom w:val="0"/>
      <w:divBdr>
        <w:top w:val="none" w:sz="0" w:space="0" w:color="auto"/>
        <w:left w:val="none" w:sz="0" w:space="0" w:color="auto"/>
        <w:bottom w:val="none" w:sz="0" w:space="0" w:color="auto"/>
        <w:right w:val="none" w:sz="0" w:space="0" w:color="auto"/>
      </w:divBdr>
    </w:div>
    <w:div w:id="1811434541">
      <w:bodyDiv w:val="1"/>
      <w:marLeft w:val="0"/>
      <w:marRight w:val="0"/>
      <w:marTop w:val="0"/>
      <w:marBottom w:val="0"/>
      <w:divBdr>
        <w:top w:val="none" w:sz="0" w:space="0" w:color="auto"/>
        <w:left w:val="none" w:sz="0" w:space="0" w:color="auto"/>
        <w:bottom w:val="none" w:sz="0" w:space="0" w:color="auto"/>
        <w:right w:val="none" w:sz="0" w:space="0" w:color="auto"/>
      </w:divBdr>
    </w:div>
    <w:div w:id="1860502762">
      <w:bodyDiv w:val="1"/>
      <w:marLeft w:val="0"/>
      <w:marRight w:val="0"/>
      <w:marTop w:val="0"/>
      <w:marBottom w:val="0"/>
      <w:divBdr>
        <w:top w:val="none" w:sz="0" w:space="0" w:color="auto"/>
        <w:left w:val="none" w:sz="0" w:space="0" w:color="auto"/>
        <w:bottom w:val="none" w:sz="0" w:space="0" w:color="auto"/>
        <w:right w:val="none" w:sz="0" w:space="0" w:color="auto"/>
      </w:divBdr>
    </w:div>
    <w:div w:id="1888639697">
      <w:bodyDiv w:val="1"/>
      <w:marLeft w:val="0"/>
      <w:marRight w:val="0"/>
      <w:marTop w:val="0"/>
      <w:marBottom w:val="0"/>
      <w:divBdr>
        <w:top w:val="none" w:sz="0" w:space="0" w:color="auto"/>
        <w:left w:val="none" w:sz="0" w:space="0" w:color="auto"/>
        <w:bottom w:val="none" w:sz="0" w:space="0" w:color="auto"/>
        <w:right w:val="none" w:sz="0" w:space="0" w:color="auto"/>
      </w:divBdr>
    </w:div>
    <w:div w:id="1945654583">
      <w:bodyDiv w:val="1"/>
      <w:marLeft w:val="0"/>
      <w:marRight w:val="0"/>
      <w:marTop w:val="0"/>
      <w:marBottom w:val="0"/>
      <w:divBdr>
        <w:top w:val="none" w:sz="0" w:space="0" w:color="auto"/>
        <w:left w:val="none" w:sz="0" w:space="0" w:color="auto"/>
        <w:bottom w:val="none" w:sz="0" w:space="0" w:color="auto"/>
        <w:right w:val="none" w:sz="0" w:space="0" w:color="auto"/>
      </w:divBdr>
    </w:div>
    <w:div w:id="1950888173">
      <w:bodyDiv w:val="1"/>
      <w:marLeft w:val="0"/>
      <w:marRight w:val="0"/>
      <w:marTop w:val="0"/>
      <w:marBottom w:val="0"/>
      <w:divBdr>
        <w:top w:val="none" w:sz="0" w:space="0" w:color="auto"/>
        <w:left w:val="none" w:sz="0" w:space="0" w:color="auto"/>
        <w:bottom w:val="none" w:sz="0" w:space="0" w:color="auto"/>
        <w:right w:val="none" w:sz="0" w:space="0" w:color="auto"/>
      </w:divBdr>
    </w:div>
    <w:div w:id="1985163573">
      <w:bodyDiv w:val="1"/>
      <w:marLeft w:val="0"/>
      <w:marRight w:val="0"/>
      <w:marTop w:val="0"/>
      <w:marBottom w:val="0"/>
      <w:divBdr>
        <w:top w:val="none" w:sz="0" w:space="0" w:color="auto"/>
        <w:left w:val="none" w:sz="0" w:space="0" w:color="auto"/>
        <w:bottom w:val="none" w:sz="0" w:space="0" w:color="auto"/>
        <w:right w:val="none" w:sz="0" w:space="0" w:color="auto"/>
      </w:divBdr>
    </w:div>
    <w:div w:id="1999768657">
      <w:bodyDiv w:val="1"/>
      <w:marLeft w:val="0"/>
      <w:marRight w:val="0"/>
      <w:marTop w:val="0"/>
      <w:marBottom w:val="0"/>
      <w:divBdr>
        <w:top w:val="none" w:sz="0" w:space="0" w:color="auto"/>
        <w:left w:val="none" w:sz="0" w:space="0" w:color="auto"/>
        <w:bottom w:val="none" w:sz="0" w:space="0" w:color="auto"/>
        <w:right w:val="none" w:sz="0" w:space="0" w:color="auto"/>
      </w:divBdr>
    </w:div>
    <w:div w:id="2015381557">
      <w:bodyDiv w:val="1"/>
      <w:marLeft w:val="0"/>
      <w:marRight w:val="0"/>
      <w:marTop w:val="0"/>
      <w:marBottom w:val="0"/>
      <w:divBdr>
        <w:top w:val="none" w:sz="0" w:space="0" w:color="auto"/>
        <w:left w:val="none" w:sz="0" w:space="0" w:color="auto"/>
        <w:bottom w:val="none" w:sz="0" w:space="0" w:color="auto"/>
        <w:right w:val="none" w:sz="0" w:space="0" w:color="auto"/>
      </w:divBdr>
    </w:div>
    <w:div w:id="2024353675">
      <w:bodyDiv w:val="1"/>
      <w:marLeft w:val="0"/>
      <w:marRight w:val="0"/>
      <w:marTop w:val="0"/>
      <w:marBottom w:val="0"/>
      <w:divBdr>
        <w:top w:val="none" w:sz="0" w:space="0" w:color="auto"/>
        <w:left w:val="none" w:sz="0" w:space="0" w:color="auto"/>
        <w:bottom w:val="none" w:sz="0" w:space="0" w:color="auto"/>
        <w:right w:val="none" w:sz="0" w:space="0" w:color="auto"/>
      </w:divBdr>
    </w:div>
    <w:div w:id="2032678996">
      <w:bodyDiv w:val="1"/>
      <w:marLeft w:val="0"/>
      <w:marRight w:val="0"/>
      <w:marTop w:val="0"/>
      <w:marBottom w:val="0"/>
      <w:divBdr>
        <w:top w:val="none" w:sz="0" w:space="0" w:color="auto"/>
        <w:left w:val="none" w:sz="0" w:space="0" w:color="auto"/>
        <w:bottom w:val="none" w:sz="0" w:space="0" w:color="auto"/>
        <w:right w:val="none" w:sz="0" w:space="0" w:color="auto"/>
      </w:divBdr>
    </w:div>
    <w:div w:id="2064402599">
      <w:bodyDiv w:val="1"/>
      <w:marLeft w:val="0"/>
      <w:marRight w:val="0"/>
      <w:marTop w:val="0"/>
      <w:marBottom w:val="0"/>
      <w:divBdr>
        <w:top w:val="none" w:sz="0" w:space="0" w:color="auto"/>
        <w:left w:val="none" w:sz="0" w:space="0" w:color="auto"/>
        <w:bottom w:val="none" w:sz="0" w:space="0" w:color="auto"/>
        <w:right w:val="none" w:sz="0" w:space="0" w:color="auto"/>
      </w:divBdr>
    </w:div>
    <w:div w:id="2132939172">
      <w:bodyDiv w:val="1"/>
      <w:marLeft w:val="0"/>
      <w:marRight w:val="0"/>
      <w:marTop w:val="0"/>
      <w:marBottom w:val="0"/>
      <w:divBdr>
        <w:top w:val="none" w:sz="0" w:space="0" w:color="auto"/>
        <w:left w:val="none" w:sz="0" w:space="0" w:color="auto"/>
        <w:bottom w:val="none" w:sz="0" w:space="0" w:color="auto"/>
        <w:right w:val="none" w:sz="0" w:space="0" w:color="auto"/>
      </w:divBdr>
    </w:div>
    <w:div w:id="2135059651">
      <w:bodyDiv w:val="1"/>
      <w:marLeft w:val="0"/>
      <w:marRight w:val="0"/>
      <w:marTop w:val="0"/>
      <w:marBottom w:val="0"/>
      <w:divBdr>
        <w:top w:val="none" w:sz="0" w:space="0" w:color="auto"/>
        <w:left w:val="none" w:sz="0" w:space="0" w:color="auto"/>
        <w:bottom w:val="none" w:sz="0" w:space="0" w:color="auto"/>
        <w:right w:val="none" w:sz="0" w:space="0" w:color="auto"/>
      </w:divBdr>
    </w:div>
    <w:div w:id="21442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omments" Target="comments.xml"/><Relationship Id="rId26" Type="http://schemas.openxmlformats.org/officeDocument/2006/relationships/hyperlink" Target="https://www.ivl.se/publikationer/publikationer/scope-3-for-bostadsforetag-vagledning-for-berakning-och-rapportering-av-klimatpaverkan-enligt-greenhouse-gas-protocol.html" TargetMode="External"/><Relationship Id="rId39" Type="http://schemas.openxmlformats.org/officeDocument/2006/relationships/hyperlink" Target="https://greppa.nu/rakna-och-gor-sjalv/rakna-sjalv/vera" TargetMode="External"/><Relationship Id="rId21" Type="http://schemas.microsoft.com/office/2018/08/relationships/commentsExtensible" Target="commentsExtensible.xml"/><Relationship Id="rId34" Type="http://schemas.openxmlformats.org/officeDocument/2006/relationships/hyperlink" Target="https://www.ivl.se/download/18.2299af4c16c6c7485d0185f/1590594901391/C433.pdf"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s://www.ivl.se/projektwebbar/klimatkrav-till-rimlig-kostnad.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stighetsagarna.se/globalassets/broschyrer-och-faktablad/handledningar/vagledning-rapportering-av-utslapp-i-scope-3-for-fastighetsagare.pdf?bustCache=1669981513207" TargetMode="External"/><Relationship Id="rId32" Type="http://schemas.openxmlformats.org/officeDocument/2006/relationships/hyperlink" Target="https://www.boverket.se/sv/klimatdeklaration/klimatdatabas/" TargetMode="External"/><Relationship Id="rId37" Type="http://schemas.openxmlformats.org/officeDocument/2006/relationships/hyperlink" Target="https://lfu.se/lfu-s-kategoritrad" TargetMode="External"/><Relationship Id="rId40" Type="http://schemas.openxmlformats.org/officeDocument/2006/relationships/hyperlink" Target="https://www.nice.org.uk/guidance/ng80/resources/inhalers-for-asthma-patient-decision-aid-pdf-6727144573"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skr.se/skr/tjanster/rapporterochskrifter/publikationer/fastighetsnyckeltalavseende2022.73863.html" TargetMode="External"/><Relationship Id="rId28" Type="http://schemas.openxmlformats.org/officeDocument/2006/relationships/hyperlink" Target="https://www.ivl.se/projektwebbar/klimatkrav-till-rimlig-kostnad/anvisningar-lca-berakning-byggprojekt.html" TargetMode="External"/><Relationship Id="rId36" Type="http://schemas.openxmlformats.org/officeDocument/2006/relationships/hyperlink" Target="https://2030.miljobarometern.se/kommun/helhet/bilen/genomsnittliga-koldioxidutslapp-hos-fordon/" TargetMode="Externa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hyperlink" Target="https://www.ivl.se/publikationer/publikationer/byggsektorns-miljoberakningsverktyg-bm1.0.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klimatkommunerna.se/kunskapsbank/sank-kolet/" TargetMode="External"/><Relationship Id="rId27" Type="http://schemas.openxmlformats.org/officeDocument/2006/relationships/hyperlink" Target="https://www.ivl.se/projektwebbar/klimatkrav-till-rimlig-kostnad/anvisningar-lca-berakning-byggprojekt.html" TargetMode="External"/><Relationship Id="rId30" Type="http://schemas.openxmlformats.org/officeDocument/2006/relationships/hyperlink" Target="https://www.boverket.se/sv/klimatdeklaration/klimatdatabas/" TargetMode="External"/><Relationship Id="rId35" Type="http://schemas.openxmlformats.org/officeDocument/2006/relationships/hyperlink" Target="https://www.upphandlingsmyndigheten.se/kriterier/fordon-och-transport/godstransporter/godstransporter/informationskrav-for-minskad-klimatpaverkan/basniva" TargetMode="Externa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yperlink" Target="https://www.ivl.se/publikationer/publikationer/scope-3-for-bostadsforetag-vagledning-for-berakning-och-rapportering-av-klimatpaverkan-enligt-greenhouse-gas-protocol.html" TargetMode="External"/><Relationship Id="rId33" Type="http://schemas.openxmlformats.org/officeDocument/2006/relationships/hyperlink" Target="https://www.ivl.se/publikationer/publikationer/byggsektorns-miljoberakningsverktyg-bm1.0.html" TargetMode="External"/><Relationship Id="rId38" Type="http://schemas.openxmlformats.org/officeDocument/2006/relationships/hyperlink" Target="https://lfu.se/lfu-s-kategoritrad" TargetMode="External"/><Relationship Id="rId46" Type="http://schemas.openxmlformats.org/officeDocument/2006/relationships/theme" Target="theme/theme1.xml"/><Relationship Id="rId20" Type="http://schemas.microsoft.com/office/2016/09/relationships/commentsIds" Target="commentsIds.xml"/><Relationship Id="rId41" Type="http://schemas.openxmlformats.org/officeDocument/2006/relationships/hyperlink" Target="https://lfu.se/lfu-s-kategoritr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rida.port.se/hemsidan/default.cfm" TargetMode="External"/><Relationship Id="rId2" Type="http://schemas.openxmlformats.org/officeDocument/2006/relationships/hyperlink" Target="https://frida.port.se/hemsidan/default.cfm" TargetMode="External"/><Relationship Id="rId1" Type="http://schemas.openxmlformats.org/officeDocument/2006/relationships/hyperlink" Target="https://klimatkommunerna.se/kunskapsbank/sank-kole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6206B0-D97E-4B05-AE07-1CEE5036E707}" type="doc">
      <dgm:prSet loTypeId="urn:microsoft.com/office/officeart/2005/8/layout/chevron2" loCatId="list" qsTypeId="urn:microsoft.com/office/officeart/2005/8/quickstyle/simple1" qsCatId="simple" csTypeId="urn:microsoft.com/office/officeart/2005/8/colors/colorful1" csCatId="colorful" phldr="1"/>
      <dgm:spPr/>
    </dgm:pt>
    <dgm:pt modelId="{9B421FD7-DFC3-43EA-A254-7AEABAA7407E}">
      <dgm:prSet phldrT="[Text]" custT="1"/>
      <dgm:spPr>
        <a:xfrm rot="5400000">
          <a:off x="-289718" y="292805"/>
          <a:ext cx="1931458" cy="1352020"/>
        </a:xfrm>
        <a:prstGeom prst="chevron">
          <a:avLst/>
        </a:prstGeom>
        <a:solidFill>
          <a:srgbClr val="012E44">
            <a:hueOff val="0"/>
            <a:satOff val="0"/>
            <a:lumOff val="0"/>
            <a:alphaOff val="0"/>
          </a:srgbClr>
        </a:solidFill>
        <a:ln w="12700" cap="flat" cmpd="sng" algn="ctr">
          <a:solidFill>
            <a:srgbClr val="012E44">
              <a:hueOff val="0"/>
              <a:satOff val="0"/>
              <a:lumOff val="0"/>
              <a:alphaOff val="0"/>
            </a:srgbClr>
          </a:solidFill>
          <a:prstDash val="solid"/>
          <a:miter lim="800000"/>
        </a:ln>
        <a:effectLst/>
      </dgm:spPr>
      <dgm:t>
        <a:bodyPr/>
        <a:lstStyle/>
        <a:p>
          <a:pPr marL="171450" lvl="1" indent="-171450" algn="ctr" defTabSz="800100">
            <a:lnSpc>
              <a:spcPct val="90000"/>
            </a:lnSpc>
            <a:spcBef>
              <a:spcPct val="0"/>
            </a:spcBef>
            <a:spcAft>
              <a:spcPct val="15000"/>
            </a:spcAft>
            <a:buNone/>
          </a:pPr>
          <a:r>
            <a:rPr lang="sv-SE" sz="1050" kern="1200">
              <a:solidFill>
                <a:srgbClr val="FFFFFF"/>
              </a:solidFill>
              <a:latin typeface="Museo Sans Rounded 900" panose="02000000000000000000" pitchFamily="50" charset="0"/>
              <a:ea typeface="+mn-ea"/>
              <a:cs typeface="+mn-cs"/>
            </a:rPr>
            <a:t>Scope 1</a:t>
          </a:r>
          <a:endParaRPr lang="sv-SE" sz="900" i="0" kern="1200">
            <a:solidFill>
              <a:srgbClr val="000000">
                <a:hueOff val="0"/>
                <a:satOff val="0"/>
                <a:lumOff val="0"/>
                <a:alphaOff val="0"/>
              </a:srgbClr>
            </a:solidFill>
            <a:latin typeface="Museo Sans Rounded 900" panose="02000000000000000000" pitchFamily="50" charset="0"/>
            <a:ea typeface="+mn-ea"/>
            <a:cs typeface="+mn-cs"/>
          </a:endParaRPr>
        </a:p>
      </dgm:t>
    </dgm:pt>
    <dgm:pt modelId="{B268C6F6-AC63-419A-86CF-FAF5AD531DEA}" type="parTrans" cxnId="{9E8736C6-9703-437C-8EEB-FF1C08F6E573}">
      <dgm:prSet/>
      <dgm:spPr/>
      <dgm:t>
        <a:bodyPr/>
        <a:lstStyle/>
        <a:p>
          <a:endParaRPr lang="sv-SE" sz="800"/>
        </a:p>
      </dgm:t>
    </dgm:pt>
    <dgm:pt modelId="{FAE37372-AD6A-40CE-A947-A96E45A27F37}" type="sibTrans" cxnId="{9E8736C6-9703-437C-8EEB-FF1C08F6E573}">
      <dgm:prSet/>
      <dgm:spPr/>
      <dgm:t>
        <a:bodyPr/>
        <a:lstStyle/>
        <a:p>
          <a:endParaRPr lang="sv-SE" sz="800"/>
        </a:p>
      </dgm:t>
    </dgm:pt>
    <dgm:pt modelId="{D7B4E362-2A4E-49E3-B270-232C9BBEF436}">
      <dgm:prSet phldrT="[Text]" custT="1"/>
      <dgm:spPr>
        <a:xfrm rot="5400000">
          <a:off x="-289718" y="2033323"/>
          <a:ext cx="1931458" cy="1352020"/>
        </a:xfrm>
        <a:prstGeom prst="chevron">
          <a:avLst/>
        </a:prstGeom>
        <a:solidFill>
          <a:srgbClr val="7C3347">
            <a:hueOff val="0"/>
            <a:satOff val="0"/>
            <a:lumOff val="0"/>
            <a:alphaOff val="0"/>
          </a:srgbClr>
        </a:solidFill>
        <a:ln w="12700" cap="flat" cmpd="sng" algn="ctr">
          <a:solidFill>
            <a:srgbClr val="7C3347">
              <a:hueOff val="0"/>
              <a:satOff val="0"/>
              <a:lumOff val="0"/>
              <a:alphaOff val="0"/>
            </a:srgbClr>
          </a:solidFill>
          <a:prstDash val="solid"/>
          <a:miter lim="800000"/>
        </a:ln>
        <a:effectLst/>
      </dgm:spPr>
      <dgm:t>
        <a:bodyPr/>
        <a:lstStyle/>
        <a:p>
          <a:pPr marL="171450" lvl="1" indent="-171450" algn="ctr" defTabSz="800100">
            <a:lnSpc>
              <a:spcPct val="90000"/>
            </a:lnSpc>
            <a:spcBef>
              <a:spcPct val="0"/>
            </a:spcBef>
            <a:spcAft>
              <a:spcPct val="15000"/>
            </a:spcAft>
            <a:buNone/>
          </a:pPr>
          <a:r>
            <a:rPr lang="sv-SE" sz="1050" kern="1200" dirty="0">
              <a:solidFill>
                <a:srgbClr val="FFFFFF"/>
              </a:solidFill>
              <a:latin typeface="Museo Sans Rounded 900" panose="02000000000000000000" pitchFamily="50" charset="0"/>
              <a:ea typeface="+mn-ea"/>
              <a:cs typeface="+mn-cs"/>
            </a:rPr>
            <a:t>Scope 2</a:t>
          </a:r>
        </a:p>
      </dgm:t>
    </dgm:pt>
    <dgm:pt modelId="{E5C21448-719B-4ED6-9E82-36B70E248120}" type="parTrans" cxnId="{41FE1CB0-7115-4505-BC4C-20B70B62BF6C}">
      <dgm:prSet/>
      <dgm:spPr/>
      <dgm:t>
        <a:bodyPr/>
        <a:lstStyle/>
        <a:p>
          <a:endParaRPr lang="sv-SE" sz="800"/>
        </a:p>
      </dgm:t>
    </dgm:pt>
    <dgm:pt modelId="{1CDAC5EF-7FC8-4BB0-85D8-59163498CD33}" type="sibTrans" cxnId="{41FE1CB0-7115-4505-BC4C-20B70B62BF6C}">
      <dgm:prSet/>
      <dgm:spPr/>
      <dgm:t>
        <a:bodyPr/>
        <a:lstStyle/>
        <a:p>
          <a:endParaRPr lang="sv-SE" sz="800"/>
        </a:p>
      </dgm:t>
    </dgm:pt>
    <dgm:pt modelId="{A208E28C-F649-4F35-91BA-5B8C603B0410}">
      <dgm:prSet phldrT="[Text]" custT="1"/>
      <dgm:spPr>
        <a:xfrm rot="5400000">
          <a:off x="-289718" y="3773840"/>
          <a:ext cx="1931458" cy="1352020"/>
        </a:xfrm>
        <a:prstGeom prst="chevron">
          <a:avLst/>
        </a:prstGeom>
        <a:solidFill>
          <a:srgbClr val="AAB032">
            <a:hueOff val="0"/>
            <a:satOff val="0"/>
            <a:lumOff val="0"/>
            <a:alphaOff val="0"/>
          </a:srgbClr>
        </a:solidFill>
        <a:ln w="12700" cap="flat" cmpd="sng" algn="ctr">
          <a:solidFill>
            <a:srgbClr val="AAB032">
              <a:hueOff val="0"/>
              <a:satOff val="0"/>
              <a:lumOff val="0"/>
              <a:alphaOff val="0"/>
            </a:srgbClr>
          </a:solidFill>
          <a:prstDash val="solid"/>
          <a:miter lim="800000"/>
        </a:ln>
        <a:effectLst/>
      </dgm:spPr>
      <dgm:t>
        <a:bodyPr/>
        <a:lstStyle/>
        <a:p>
          <a:pPr marL="171450" lvl="1" indent="-171450" algn="ctr" defTabSz="800100">
            <a:lnSpc>
              <a:spcPct val="90000"/>
            </a:lnSpc>
            <a:spcBef>
              <a:spcPct val="0"/>
            </a:spcBef>
            <a:spcAft>
              <a:spcPct val="15000"/>
            </a:spcAft>
            <a:buNone/>
          </a:pPr>
          <a:r>
            <a:rPr lang="sv-SE" sz="1050" kern="1200">
              <a:solidFill>
                <a:srgbClr val="FFFFFF"/>
              </a:solidFill>
              <a:latin typeface="Museo Sans Rounded 900" panose="02000000000000000000" pitchFamily="50" charset="0"/>
              <a:ea typeface="+mn-ea"/>
              <a:cs typeface="+mn-cs"/>
            </a:rPr>
            <a:t>Scope 3</a:t>
          </a:r>
        </a:p>
      </dgm:t>
    </dgm:pt>
    <dgm:pt modelId="{3E6BADB2-382B-4B4B-B376-6ABB643A5877}" type="parTrans" cxnId="{7D0AF951-BA2C-4816-A961-BB80B71B38B2}">
      <dgm:prSet/>
      <dgm:spPr/>
      <dgm:t>
        <a:bodyPr/>
        <a:lstStyle/>
        <a:p>
          <a:endParaRPr lang="sv-SE" sz="800"/>
        </a:p>
      </dgm:t>
    </dgm:pt>
    <dgm:pt modelId="{3530CB12-E839-4656-BF85-4249640C795F}" type="sibTrans" cxnId="{7D0AF951-BA2C-4816-A961-BB80B71B38B2}">
      <dgm:prSet/>
      <dgm:spPr/>
      <dgm:t>
        <a:bodyPr/>
        <a:lstStyle/>
        <a:p>
          <a:endParaRPr lang="sv-SE" sz="800"/>
        </a:p>
      </dgm:t>
    </dgm:pt>
    <dgm:pt modelId="{7363ADC5-D0A0-49B9-814C-3A8196DA3F79}">
      <dgm:prSet custT="1"/>
      <dgm:spPr>
        <a:xfrm rot="5400000">
          <a:off x="4112286" y="-2757179"/>
          <a:ext cx="1255447" cy="6775979"/>
        </a:xfrm>
        <a:prstGeom prst="round2SameRect">
          <a:avLst/>
        </a:prstGeom>
        <a:solidFill>
          <a:srgbClr val="FFFFFF">
            <a:alpha val="90000"/>
            <a:hueOff val="0"/>
            <a:satOff val="0"/>
            <a:lumOff val="0"/>
            <a:alphaOff val="0"/>
          </a:srgbClr>
        </a:solidFill>
        <a:ln w="12700" cap="flat" cmpd="sng" algn="ctr">
          <a:solidFill>
            <a:srgbClr val="012E44">
              <a:hueOff val="0"/>
              <a:satOff val="0"/>
              <a:lumOff val="0"/>
              <a:alphaOff val="0"/>
            </a:srgbClr>
          </a:solidFill>
          <a:prstDash val="solid"/>
          <a:miter lim="800000"/>
        </a:ln>
        <a:effectLst/>
      </dgm:spPr>
      <dgm:t>
        <a:bodyPr/>
        <a:lstStyle/>
        <a:p>
          <a:pPr>
            <a:buFontTx/>
            <a:buNone/>
          </a:pPr>
          <a:r>
            <a:rPr lang="sv-SE" sz="1000" i="0">
              <a:solidFill>
                <a:srgbClr val="000000">
                  <a:hueOff val="0"/>
                  <a:satOff val="0"/>
                  <a:lumOff val="0"/>
                  <a:alphaOff val="0"/>
                </a:srgbClr>
              </a:solidFill>
              <a:latin typeface="Museo Sans Rounded 300" panose="02000000000000000000" pitchFamily="50" charset="0"/>
              <a:ea typeface="+mn-ea"/>
              <a:cs typeface="+mn-cs"/>
            </a:rPr>
            <a:t>  Direkta utsläpp från källor som finns inom verksamheten</a:t>
          </a:r>
        </a:p>
      </dgm:t>
    </dgm:pt>
    <dgm:pt modelId="{140F14AD-BED1-4504-B581-B1FB921BD1A0}" type="parTrans" cxnId="{127E9210-2BED-4242-ACB5-CF0A9E343925}">
      <dgm:prSet/>
      <dgm:spPr/>
      <dgm:t>
        <a:bodyPr/>
        <a:lstStyle/>
        <a:p>
          <a:endParaRPr lang="sv-SE" sz="800"/>
        </a:p>
      </dgm:t>
    </dgm:pt>
    <dgm:pt modelId="{F67B86FB-9D2F-4507-9021-2148CB3A79F9}" type="sibTrans" cxnId="{127E9210-2BED-4242-ACB5-CF0A9E343925}">
      <dgm:prSet/>
      <dgm:spPr/>
      <dgm:t>
        <a:bodyPr/>
        <a:lstStyle/>
        <a:p>
          <a:endParaRPr lang="sv-SE" sz="800"/>
        </a:p>
      </dgm:t>
    </dgm:pt>
    <dgm:pt modelId="{8BAB86E6-4610-468D-B1E4-F961E27FE0B1}">
      <dgm:prSet custT="1"/>
      <dgm:spPr>
        <a:xfrm rot="5400000">
          <a:off x="4112286" y="-1016661"/>
          <a:ext cx="1255447" cy="6775979"/>
        </a:xfrm>
        <a:prstGeom prst="round2SameRect">
          <a:avLst/>
        </a:prstGeom>
        <a:solidFill>
          <a:srgbClr val="FFFFFF">
            <a:alpha val="90000"/>
            <a:hueOff val="0"/>
            <a:satOff val="0"/>
            <a:lumOff val="0"/>
            <a:alphaOff val="0"/>
          </a:srgbClr>
        </a:solidFill>
        <a:ln w="12700" cap="flat" cmpd="sng" algn="ctr">
          <a:solidFill>
            <a:srgbClr val="7C3347">
              <a:hueOff val="0"/>
              <a:satOff val="0"/>
              <a:lumOff val="0"/>
              <a:alphaOff val="0"/>
            </a:srgbClr>
          </a:solidFill>
          <a:prstDash val="solid"/>
          <a:miter lim="800000"/>
        </a:ln>
        <a:effectLst/>
      </dgm:spPr>
      <dgm:t>
        <a:bodyPr/>
        <a:lstStyle/>
        <a:p>
          <a:pPr marL="171450" lvl="1" indent="-171450" algn="l" defTabSz="800100">
            <a:lnSpc>
              <a:spcPct val="90000"/>
            </a:lnSpc>
            <a:spcBef>
              <a:spcPct val="0"/>
            </a:spcBef>
            <a:spcAft>
              <a:spcPct val="15000"/>
            </a:spcAft>
            <a:buFontTx/>
            <a:buNone/>
          </a:pPr>
          <a:r>
            <a:rPr lang="sv-SE" sz="1000" i="0" kern="1200">
              <a:solidFill>
                <a:srgbClr val="000000">
                  <a:hueOff val="0"/>
                  <a:satOff val="0"/>
                  <a:lumOff val="0"/>
                  <a:alphaOff val="0"/>
                </a:srgbClr>
              </a:solidFill>
              <a:latin typeface="Museo Sans Rounded 300" panose="02000000000000000000" pitchFamily="50" charset="0"/>
              <a:ea typeface="+mn-ea"/>
              <a:cs typeface="+mn-cs"/>
            </a:rPr>
            <a:t>  Utsläpp vilka uppstår som en konsekvens av inköp av elektricitet, värme, ånga, och/eller kyla till verksamheten</a:t>
          </a:r>
        </a:p>
      </dgm:t>
    </dgm:pt>
    <dgm:pt modelId="{29014740-4143-4688-B9B1-59C25B17C6C9}" type="parTrans" cxnId="{710A81FD-3A5B-45F1-B374-1A73EB36C691}">
      <dgm:prSet/>
      <dgm:spPr/>
      <dgm:t>
        <a:bodyPr/>
        <a:lstStyle/>
        <a:p>
          <a:endParaRPr lang="sv-SE" sz="800"/>
        </a:p>
      </dgm:t>
    </dgm:pt>
    <dgm:pt modelId="{DBD1DA54-6673-445D-BBA4-BA3B1049B4E7}" type="sibTrans" cxnId="{710A81FD-3A5B-45F1-B374-1A73EB36C691}">
      <dgm:prSet/>
      <dgm:spPr/>
      <dgm:t>
        <a:bodyPr/>
        <a:lstStyle/>
        <a:p>
          <a:endParaRPr lang="sv-SE" sz="800"/>
        </a:p>
      </dgm:t>
    </dgm:pt>
    <dgm:pt modelId="{801BA52A-8AFC-41E5-8B68-197626126F06}">
      <dgm:prSet custT="1"/>
      <dgm:spPr>
        <a:xfrm rot="5400000">
          <a:off x="4112286" y="723856"/>
          <a:ext cx="1255447" cy="6775979"/>
        </a:xfrm>
        <a:prstGeom prst="round2SameRect">
          <a:avLst/>
        </a:prstGeom>
        <a:solidFill>
          <a:srgbClr val="FFFFFF">
            <a:alpha val="90000"/>
            <a:hueOff val="0"/>
            <a:satOff val="0"/>
            <a:lumOff val="0"/>
            <a:alphaOff val="0"/>
          </a:srgbClr>
        </a:solidFill>
        <a:ln w="12700" cap="flat" cmpd="sng" algn="ctr">
          <a:solidFill>
            <a:srgbClr val="AAB032">
              <a:hueOff val="0"/>
              <a:satOff val="0"/>
              <a:lumOff val="0"/>
              <a:alphaOff val="0"/>
            </a:srgbClr>
          </a:solidFill>
          <a:prstDash val="solid"/>
          <a:miter lim="800000"/>
        </a:ln>
        <a:effectLst/>
      </dgm:spPr>
      <dgm:t>
        <a:bodyPr/>
        <a:lstStyle/>
        <a:p>
          <a:pPr marL="171450" lvl="1" indent="-171450" algn="l" defTabSz="800100">
            <a:lnSpc>
              <a:spcPct val="90000"/>
            </a:lnSpc>
            <a:spcBef>
              <a:spcPct val="0"/>
            </a:spcBef>
            <a:spcAft>
              <a:spcPct val="15000"/>
            </a:spcAft>
            <a:buFontTx/>
            <a:buNone/>
          </a:pPr>
          <a:r>
            <a:rPr lang="sv-SE" sz="1000" i="0" kern="1200">
              <a:solidFill>
                <a:srgbClr val="000000">
                  <a:hueOff val="0"/>
                  <a:satOff val="0"/>
                  <a:lumOff val="0"/>
                  <a:alphaOff val="0"/>
                </a:srgbClr>
              </a:solidFill>
              <a:latin typeface="Museo Sans Rounded 300" panose="02000000000000000000" pitchFamily="50" charset="0"/>
              <a:ea typeface="+mn-ea"/>
              <a:cs typeface="+mn-cs"/>
            </a:rPr>
            <a:t>   Alla andra utsläpp som uppstår utanför verksamheten men som ett resultat av aktiviteter som sker genom verksamheten</a:t>
          </a:r>
        </a:p>
      </dgm:t>
    </dgm:pt>
    <dgm:pt modelId="{11C494DD-4024-407B-9A6F-28F64398157F}" type="parTrans" cxnId="{DA91600B-920F-49A2-BBC6-0F8B1E15B182}">
      <dgm:prSet/>
      <dgm:spPr/>
      <dgm:t>
        <a:bodyPr/>
        <a:lstStyle/>
        <a:p>
          <a:endParaRPr lang="sv-SE" sz="800"/>
        </a:p>
      </dgm:t>
    </dgm:pt>
    <dgm:pt modelId="{57627954-56CF-43F6-B0D2-D7A76ECC30E1}" type="sibTrans" cxnId="{DA91600B-920F-49A2-BBC6-0F8B1E15B182}">
      <dgm:prSet/>
      <dgm:spPr/>
      <dgm:t>
        <a:bodyPr/>
        <a:lstStyle/>
        <a:p>
          <a:endParaRPr lang="sv-SE" sz="800"/>
        </a:p>
      </dgm:t>
    </dgm:pt>
    <dgm:pt modelId="{A9820E8B-00EA-4BF2-9C73-A994356EF36E}" type="pres">
      <dgm:prSet presAssocID="{7B6206B0-D97E-4B05-AE07-1CEE5036E707}" presName="linearFlow" presStyleCnt="0">
        <dgm:presLayoutVars>
          <dgm:dir/>
          <dgm:animLvl val="lvl"/>
          <dgm:resizeHandles val="exact"/>
        </dgm:presLayoutVars>
      </dgm:prSet>
      <dgm:spPr/>
    </dgm:pt>
    <dgm:pt modelId="{2404FF99-EEE9-47F7-AD1D-173E0B23A29B}" type="pres">
      <dgm:prSet presAssocID="{9B421FD7-DFC3-43EA-A254-7AEABAA7407E}" presName="composite" presStyleCnt="0"/>
      <dgm:spPr/>
    </dgm:pt>
    <dgm:pt modelId="{80F2C8D3-1C4C-4831-A823-8AC823571236}" type="pres">
      <dgm:prSet presAssocID="{9B421FD7-DFC3-43EA-A254-7AEABAA7407E}" presName="parentText" presStyleLbl="alignNode1" presStyleIdx="0" presStyleCnt="3">
        <dgm:presLayoutVars>
          <dgm:chMax val="1"/>
          <dgm:bulletEnabled val="1"/>
        </dgm:presLayoutVars>
      </dgm:prSet>
      <dgm:spPr/>
    </dgm:pt>
    <dgm:pt modelId="{7F7D1A0A-2A1A-473D-A0EE-F3E60E562F47}" type="pres">
      <dgm:prSet presAssocID="{9B421FD7-DFC3-43EA-A254-7AEABAA7407E}" presName="descendantText" presStyleLbl="alignAcc1" presStyleIdx="0" presStyleCnt="3">
        <dgm:presLayoutVars>
          <dgm:bulletEnabled val="1"/>
        </dgm:presLayoutVars>
      </dgm:prSet>
      <dgm:spPr/>
    </dgm:pt>
    <dgm:pt modelId="{7F8D4D42-974A-4508-9407-DA631BCBEC51}" type="pres">
      <dgm:prSet presAssocID="{FAE37372-AD6A-40CE-A947-A96E45A27F37}" presName="sp" presStyleCnt="0"/>
      <dgm:spPr/>
    </dgm:pt>
    <dgm:pt modelId="{FF5320D8-7257-4DBC-9DCA-C7556D7740E2}" type="pres">
      <dgm:prSet presAssocID="{D7B4E362-2A4E-49E3-B270-232C9BBEF436}" presName="composite" presStyleCnt="0"/>
      <dgm:spPr/>
    </dgm:pt>
    <dgm:pt modelId="{B0ECD32F-B024-4555-9226-CDD7482FC128}" type="pres">
      <dgm:prSet presAssocID="{D7B4E362-2A4E-49E3-B270-232C9BBEF436}" presName="parentText" presStyleLbl="alignNode1" presStyleIdx="1" presStyleCnt="3">
        <dgm:presLayoutVars>
          <dgm:chMax val="1"/>
          <dgm:bulletEnabled val="1"/>
        </dgm:presLayoutVars>
      </dgm:prSet>
      <dgm:spPr/>
    </dgm:pt>
    <dgm:pt modelId="{0D1D829B-6809-4A80-B6B1-12ADB0BA7482}" type="pres">
      <dgm:prSet presAssocID="{D7B4E362-2A4E-49E3-B270-232C9BBEF436}" presName="descendantText" presStyleLbl="alignAcc1" presStyleIdx="1" presStyleCnt="3">
        <dgm:presLayoutVars>
          <dgm:bulletEnabled val="1"/>
        </dgm:presLayoutVars>
      </dgm:prSet>
      <dgm:spPr/>
    </dgm:pt>
    <dgm:pt modelId="{54E720F2-7225-4C3B-8835-67B043DD7D3B}" type="pres">
      <dgm:prSet presAssocID="{1CDAC5EF-7FC8-4BB0-85D8-59163498CD33}" presName="sp" presStyleCnt="0"/>
      <dgm:spPr/>
    </dgm:pt>
    <dgm:pt modelId="{F71682FA-306D-4D5E-8C32-528D9EBE584C}" type="pres">
      <dgm:prSet presAssocID="{A208E28C-F649-4F35-91BA-5B8C603B0410}" presName="composite" presStyleCnt="0"/>
      <dgm:spPr/>
    </dgm:pt>
    <dgm:pt modelId="{4C35CDFC-9ED4-4F4F-BF17-AF5081CDCEE6}" type="pres">
      <dgm:prSet presAssocID="{A208E28C-F649-4F35-91BA-5B8C603B0410}" presName="parentText" presStyleLbl="alignNode1" presStyleIdx="2" presStyleCnt="3">
        <dgm:presLayoutVars>
          <dgm:chMax val="1"/>
          <dgm:bulletEnabled val="1"/>
        </dgm:presLayoutVars>
      </dgm:prSet>
      <dgm:spPr/>
    </dgm:pt>
    <dgm:pt modelId="{6137D0FA-6825-4393-A64A-3DD36AE841BD}" type="pres">
      <dgm:prSet presAssocID="{A208E28C-F649-4F35-91BA-5B8C603B0410}" presName="descendantText" presStyleLbl="alignAcc1" presStyleIdx="2" presStyleCnt="3">
        <dgm:presLayoutVars>
          <dgm:bulletEnabled val="1"/>
        </dgm:presLayoutVars>
      </dgm:prSet>
      <dgm:spPr/>
    </dgm:pt>
  </dgm:ptLst>
  <dgm:cxnLst>
    <dgm:cxn modelId="{DA91600B-920F-49A2-BBC6-0F8B1E15B182}" srcId="{A208E28C-F649-4F35-91BA-5B8C603B0410}" destId="{801BA52A-8AFC-41E5-8B68-197626126F06}" srcOrd="0" destOrd="0" parTransId="{11C494DD-4024-407B-9A6F-28F64398157F}" sibTransId="{57627954-56CF-43F6-B0D2-D7A76ECC30E1}"/>
    <dgm:cxn modelId="{127E9210-2BED-4242-ACB5-CF0A9E343925}" srcId="{9B421FD7-DFC3-43EA-A254-7AEABAA7407E}" destId="{7363ADC5-D0A0-49B9-814C-3A8196DA3F79}" srcOrd="0" destOrd="0" parTransId="{140F14AD-BED1-4504-B581-B1FB921BD1A0}" sibTransId="{F67B86FB-9D2F-4507-9021-2148CB3A79F9}"/>
    <dgm:cxn modelId="{87ECD31A-2D6B-4D4B-B4AA-2930CDD41291}" type="presOf" srcId="{A208E28C-F649-4F35-91BA-5B8C603B0410}" destId="{4C35CDFC-9ED4-4F4F-BF17-AF5081CDCEE6}" srcOrd="0" destOrd="0" presId="urn:microsoft.com/office/officeart/2005/8/layout/chevron2"/>
    <dgm:cxn modelId="{CBE16540-D140-4E28-9C9B-28826A238BC1}" type="presOf" srcId="{8BAB86E6-4610-468D-B1E4-F961E27FE0B1}" destId="{0D1D829B-6809-4A80-B6B1-12ADB0BA7482}" srcOrd="0" destOrd="0" presId="urn:microsoft.com/office/officeart/2005/8/layout/chevron2"/>
    <dgm:cxn modelId="{F157E45D-F347-430C-A4FA-B3B9869958CE}" type="presOf" srcId="{801BA52A-8AFC-41E5-8B68-197626126F06}" destId="{6137D0FA-6825-4393-A64A-3DD36AE841BD}" srcOrd="0" destOrd="0" presId="urn:microsoft.com/office/officeart/2005/8/layout/chevron2"/>
    <dgm:cxn modelId="{7D0AF951-BA2C-4816-A961-BB80B71B38B2}" srcId="{7B6206B0-D97E-4B05-AE07-1CEE5036E707}" destId="{A208E28C-F649-4F35-91BA-5B8C603B0410}" srcOrd="2" destOrd="0" parTransId="{3E6BADB2-382B-4B4B-B376-6ABB643A5877}" sibTransId="{3530CB12-E839-4656-BF85-4249640C795F}"/>
    <dgm:cxn modelId="{32C834A5-A6F1-4115-B8FC-817F4BF56D5D}" type="presOf" srcId="{7B6206B0-D97E-4B05-AE07-1CEE5036E707}" destId="{A9820E8B-00EA-4BF2-9C73-A994356EF36E}" srcOrd="0" destOrd="0" presId="urn:microsoft.com/office/officeart/2005/8/layout/chevron2"/>
    <dgm:cxn modelId="{41FE1CB0-7115-4505-BC4C-20B70B62BF6C}" srcId="{7B6206B0-D97E-4B05-AE07-1CEE5036E707}" destId="{D7B4E362-2A4E-49E3-B270-232C9BBEF436}" srcOrd="1" destOrd="0" parTransId="{E5C21448-719B-4ED6-9E82-36B70E248120}" sibTransId="{1CDAC5EF-7FC8-4BB0-85D8-59163498CD33}"/>
    <dgm:cxn modelId="{CAB6C6B4-8F9B-44C2-8F50-55908BC73678}" type="presOf" srcId="{D7B4E362-2A4E-49E3-B270-232C9BBEF436}" destId="{B0ECD32F-B024-4555-9226-CDD7482FC128}" srcOrd="0" destOrd="0" presId="urn:microsoft.com/office/officeart/2005/8/layout/chevron2"/>
    <dgm:cxn modelId="{9E8736C6-9703-437C-8EEB-FF1C08F6E573}" srcId="{7B6206B0-D97E-4B05-AE07-1CEE5036E707}" destId="{9B421FD7-DFC3-43EA-A254-7AEABAA7407E}" srcOrd="0" destOrd="0" parTransId="{B268C6F6-AC63-419A-86CF-FAF5AD531DEA}" sibTransId="{FAE37372-AD6A-40CE-A947-A96E45A27F37}"/>
    <dgm:cxn modelId="{6A8C84C6-1C3C-4E38-8585-1A49E0A8FF0D}" type="presOf" srcId="{7363ADC5-D0A0-49B9-814C-3A8196DA3F79}" destId="{7F7D1A0A-2A1A-473D-A0EE-F3E60E562F47}" srcOrd="0" destOrd="0" presId="urn:microsoft.com/office/officeart/2005/8/layout/chevron2"/>
    <dgm:cxn modelId="{62B77EFC-9585-48AF-B136-B8145AE7FB82}" type="presOf" srcId="{9B421FD7-DFC3-43EA-A254-7AEABAA7407E}" destId="{80F2C8D3-1C4C-4831-A823-8AC823571236}" srcOrd="0" destOrd="0" presId="urn:microsoft.com/office/officeart/2005/8/layout/chevron2"/>
    <dgm:cxn modelId="{710A81FD-3A5B-45F1-B374-1A73EB36C691}" srcId="{D7B4E362-2A4E-49E3-B270-232C9BBEF436}" destId="{8BAB86E6-4610-468D-B1E4-F961E27FE0B1}" srcOrd="0" destOrd="0" parTransId="{29014740-4143-4688-B9B1-59C25B17C6C9}" sibTransId="{DBD1DA54-6673-445D-BBA4-BA3B1049B4E7}"/>
    <dgm:cxn modelId="{712A4C4D-DD5C-4C14-91F5-CB55509F8447}" type="presParOf" srcId="{A9820E8B-00EA-4BF2-9C73-A994356EF36E}" destId="{2404FF99-EEE9-47F7-AD1D-173E0B23A29B}" srcOrd="0" destOrd="0" presId="urn:microsoft.com/office/officeart/2005/8/layout/chevron2"/>
    <dgm:cxn modelId="{9ACC4AE2-F8C3-42AC-A820-4489F3984F65}" type="presParOf" srcId="{2404FF99-EEE9-47F7-AD1D-173E0B23A29B}" destId="{80F2C8D3-1C4C-4831-A823-8AC823571236}" srcOrd="0" destOrd="0" presId="urn:microsoft.com/office/officeart/2005/8/layout/chevron2"/>
    <dgm:cxn modelId="{63A8C60F-72F1-4CD8-8614-3D06323BB192}" type="presParOf" srcId="{2404FF99-EEE9-47F7-AD1D-173E0B23A29B}" destId="{7F7D1A0A-2A1A-473D-A0EE-F3E60E562F47}" srcOrd="1" destOrd="0" presId="urn:microsoft.com/office/officeart/2005/8/layout/chevron2"/>
    <dgm:cxn modelId="{1020E3D3-D36B-4C9D-B56C-26A7DA55BAF8}" type="presParOf" srcId="{A9820E8B-00EA-4BF2-9C73-A994356EF36E}" destId="{7F8D4D42-974A-4508-9407-DA631BCBEC51}" srcOrd="1" destOrd="0" presId="urn:microsoft.com/office/officeart/2005/8/layout/chevron2"/>
    <dgm:cxn modelId="{0DAFC141-482E-40D0-954F-7264F9C2D0A6}" type="presParOf" srcId="{A9820E8B-00EA-4BF2-9C73-A994356EF36E}" destId="{FF5320D8-7257-4DBC-9DCA-C7556D7740E2}" srcOrd="2" destOrd="0" presId="urn:microsoft.com/office/officeart/2005/8/layout/chevron2"/>
    <dgm:cxn modelId="{426B9F3A-6A9A-4AE1-A935-065A52F0C3E0}" type="presParOf" srcId="{FF5320D8-7257-4DBC-9DCA-C7556D7740E2}" destId="{B0ECD32F-B024-4555-9226-CDD7482FC128}" srcOrd="0" destOrd="0" presId="urn:microsoft.com/office/officeart/2005/8/layout/chevron2"/>
    <dgm:cxn modelId="{CB1A4379-8327-42D0-B258-17E719977A2A}" type="presParOf" srcId="{FF5320D8-7257-4DBC-9DCA-C7556D7740E2}" destId="{0D1D829B-6809-4A80-B6B1-12ADB0BA7482}" srcOrd="1" destOrd="0" presId="urn:microsoft.com/office/officeart/2005/8/layout/chevron2"/>
    <dgm:cxn modelId="{B4490913-DDBA-4B6A-8579-5E0A61431421}" type="presParOf" srcId="{A9820E8B-00EA-4BF2-9C73-A994356EF36E}" destId="{54E720F2-7225-4C3B-8835-67B043DD7D3B}" srcOrd="3" destOrd="0" presId="urn:microsoft.com/office/officeart/2005/8/layout/chevron2"/>
    <dgm:cxn modelId="{743CC147-90F2-40E3-8B04-61E95E25044D}" type="presParOf" srcId="{A9820E8B-00EA-4BF2-9C73-A994356EF36E}" destId="{F71682FA-306D-4D5E-8C32-528D9EBE584C}" srcOrd="4" destOrd="0" presId="urn:microsoft.com/office/officeart/2005/8/layout/chevron2"/>
    <dgm:cxn modelId="{4FBF2132-F520-4CB2-BBD5-2CEF6D08B75C}" type="presParOf" srcId="{F71682FA-306D-4D5E-8C32-528D9EBE584C}" destId="{4C35CDFC-9ED4-4F4F-BF17-AF5081CDCEE6}" srcOrd="0" destOrd="0" presId="urn:microsoft.com/office/officeart/2005/8/layout/chevron2"/>
    <dgm:cxn modelId="{9EE0E1A5-FE22-470C-9550-C80589E37FC1}" type="presParOf" srcId="{F71682FA-306D-4D5E-8C32-528D9EBE584C}" destId="{6137D0FA-6825-4393-A64A-3DD36AE841BD}"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F2C8D3-1C4C-4831-A823-8AC823571236}">
      <dsp:nvSpPr>
        <dsp:cNvPr id="0" name=""/>
        <dsp:cNvSpPr/>
      </dsp:nvSpPr>
      <dsp:spPr>
        <a:xfrm rot="5400000">
          <a:off x="-131746" y="132094"/>
          <a:ext cx="878309" cy="614816"/>
        </a:xfrm>
        <a:prstGeom prst="chevron">
          <a:avLst/>
        </a:prstGeom>
        <a:solidFill>
          <a:srgbClr val="012E44">
            <a:hueOff val="0"/>
            <a:satOff val="0"/>
            <a:lumOff val="0"/>
            <a:alphaOff val="0"/>
          </a:srgbClr>
        </a:solidFill>
        <a:ln w="12700" cap="flat" cmpd="sng" algn="ctr">
          <a:solidFill>
            <a:srgbClr val="012E4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171450" lvl="1" indent="-171450" algn="ctr" defTabSz="800100">
            <a:lnSpc>
              <a:spcPct val="90000"/>
            </a:lnSpc>
            <a:spcBef>
              <a:spcPct val="0"/>
            </a:spcBef>
            <a:spcAft>
              <a:spcPct val="15000"/>
            </a:spcAft>
            <a:buNone/>
          </a:pPr>
          <a:r>
            <a:rPr lang="sv-SE" sz="1050" kern="1200">
              <a:solidFill>
                <a:srgbClr val="FFFFFF"/>
              </a:solidFill>
              <a:latin typeface="Museo Sans Rounded 900" panose="02000000000000000000" pitchFamily="50" charset="0"/>
              <a:ea typeface="+mn-ea"/>
              <a:cs typeface="+mn-cs"/>
            </a:rPr>
            <a:t>Scope 1</a:t>
          </a:r>
          <a:endParaRPr lang="sv-SE" sz="900" i="0" kern="1200">
            <a:solidFill>
              <a:srgbClr val="000000">
                <a:hueOff val="0"/>
                <a:satOff val="0"/>
                <a:lumOff val="0"/>
                <a:alphaOff val="0"/>
              </a:srgbClr>
            </a:solidFill>
            <a:latin typeface="Museo Sans Rounded 900" panose="02000000000000000000" pitchFamily="50" charset="0"/>
            <a:ea typeface="+mn-ea"/>
            <a:cs typeface="+mn-cs"/>
          </a:endParaRPr>
        </a:p>
      </dsp:txBody>
      <dsp:txXfrm rot="-5400000">
        <a:off x="1" y="307755"/>
        <a:ext cx="614816" cy="263493"/>
      </dsp:txXfrm>
    </dsp:sp>
    <dsp:sp modelId="{7F7D1A0A-2A1A-473D-A0EE-F3E60E562F47}">
      <dsp:nvSpPr>
        <dsp:cNvPr id="0" name=""/>
        <dsp:cNvSpPr/>
      </dsp:nvSpPr>
      <dsp:spPr>
        <a:xfrm rot="5400000">
          <a:off x="2614345" y="-1999180"/>
          <a:ext cx="570900" cy="4569958"/>
        </a:xfrm>
        <a:prstGeom prst="round2SameRect">
          <a:avLst/>
        </a:prstGeom>
        <a:solidFill>
          <a:srgbClr val="FFFFFF">
            <a:alpha val="90000"/>
            <a:hueOff val="0"/>
            <a:satOff val="0"/>
            <a:lumOff val="0"/>
            <a:alphaOff val="0"/>
          </a:srgbClr>
        </a:solidFill>
        <a:ln w="12700" cap="flat" cmpd="sng" algn="ctr">
          <a:solidFill>
            <a:srgbClr val="012E4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Tx/>
            <a:buNone/>
          </a:pPr>
          <a:r>
            <a:rPr lang="sv-SE" sz="1000" i="0" kern="1200">
              <a:solidFill>
                <a:srgbClr val="000000">
                  <a:hueOff val="0"/>
                  <a:satOff val="0"/>
                  <a:lumOff val="0"/>
                  <a:alphaOff val="0"/>
                </a:srgbClr>
              </a:solidFill>
              <a:latin typeface="Museo Sans Rounded 300" panose="02000000000000000000" pitchFamily="50" charset="0"/>
              <a:ea typeface="+mn-ea"/>
              <a:cs typeface="+mn-cs"/>
            </a:rPr>
            <a:t>  Direkta utsläpp från källor som finns inom verksamheten</a:t>
          </a:r>
        </a:p>
      </dsp:txBody>
      <dsp:txXfrm rot="-5400000">
        <a:off x="614817" y="28217"/>
        <a:ext cx="4542089" cy="515162"/>
      </dsp:txXfrm>
    </dsp:sp>
    <dsp:sp modelId="{B0ECD32F-B024-4555-9226-CDD7482FC128}">
      <dsp:nvSpPr>
        <dsp:cNvPr id="0" name=""/>
        <dsp:cNvSpPr/>
      </dsp:nvSpPr>
      <dsp:spPr>
        <a:xfrm rot="5400000">
          <a:off x="-131746" y="797491"/>
          <a:ext cx="878309" cy="614816"/>
        </a:xfrm>
        <a:prstGeom prst="chevron">
          <a:avLst/>
        </a:prstGeom>
        <a:solidFill>
          <a:srgbClr val="7C3347">
            <a:hueOff val="0"/>
            <a:satOff val="0"/>
            <a:lumOff val="0"/>
            <a:alphaOff val="0"/>
          </a:srgbClr>
        </a:solidFill>
        <a:ln w="12700" cap="flat" cmpd="sng" algn="ctr">
          <a:solidFill>
            <a:srgbClr val="7C33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171450" lvl="1" indent="-171450" algn="ctr" defTabSz="800100">
            <a:lnSpc>
              <a:spcPct val="90000"/>
            </a:lnSpc>
            <a:spcBef>
              <a:spcPct val="0"/>
            </a:spcBef>
            <a:spcAft>
              <a:spcPct val="15000"/>
            </a:spcAft>
            <a:buNone/>
          </a:pPr>
          <a:r>
            <a:rPr lang="sv-SE" sz="1050" kern="1200" dirty="0">
              <a:solidFill>
                <a:srgbClr val="FFFFFF"/>
              </a:solidFill>
              <a:latin typeface="Museo Sans Rounded 900" panose="02000000000000000000" pitchFamily="50" charset="0"/>
              <a:ea typeface="+mn-ea"/>
              <a:cs typeface="+mn-cs"/>
            </a:rPr>
            <a:t>Scope 2</a:t>
          </a:r>
        </a:p>
      </dsp:txBody>
      <dsp:txXfrm rot="-5400000">
        <a:off x="1" y="973152"/>
        <a:ext cx="614816" cy="263493"/>
      </dsp:txXfrm>
    </dsp:sp>
    <dsp:sp modelId="{0D1D829B-6809-4A80-B6B1-12ADB0BA7482}">
      <dsp:nvSpPr>
        <dsp:cNvPr id="0" name=""/>
        <dsp:cNvSpPr/>
      </dsp:nvSpPr>
      <dsp:spPr>
        <a:xfrm rot="5400000">
          <a:off x="2614345" y="-1333783"/>
          <a:ext cx="570900" cy="4569958"/>
        </a:xfrm>
        <a:prstGeom prst="round2SameRect">
          <a:avLst/>
        </a:prstGeom>
        <a:solidFill>
          <a:srgbClr val="FFFFFF">
            <a:alpha val="90000"/>
            <a:hueOff val="0"/>
            <a:satOff val="0"/>
            <a:lumOff val="0"/>
            <a:alphaOff val="0"/>
          </a:srgbClr>
        </a:solidFill>
        <a:ln w="12700" cap="flat" cmpd="sng" algn="ctr">
          <a:solidFill>
            <a:srgbClr val="7C33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171450" lvl="1" indent="-171450" algn="l" defTabSz="800100">
            <a:lnSpc>
              <a:spcPct val="90000"/>
            </a:lnSpc>
            <a:spcBef>
              <a:spcPct val="0"/>
            </a:spcBef>
            <a:spcAft>
              <a:spcPct val="15000"/>
            </a:spcAft>
            <a:buFontTx/>
            <a:buNone/>
          </a:pPr>
          <a:r>
            <a:rPr lang="sv-SE" sz="1000" i="0" kern="1200">
              <a:solidFill>
                <a:srgbClr val="000000">
                  <a:hueOff val="0"/>
                  <a:satOff val="0"/>
                  <a:lumOff val="0"/>
                  <a:alphaOff val="0"/>
                </a:srgbClr>
              </a:solidFill>
              <a:latin typeface="Museo Sans Rounded 300" panose="02000000000000000000" pitchFamily="50" charset="0"/>
              <a:ea typeface="+mn-ea"/>
              <a:cs typeface="+mn-cs"/>
            </a:rPr>
            <a:t>  Utsläpp vilka uppstår som en konsekvens av inköp av elektricitet, värme, ånga, och/eller kyla till verksamheten</a:t>
          </a:r>
        </a:p>
      </dsp:txBody>
      <dsp:txXfrm rot="-5400000">
        <a:off x="614817" y="693614"/>
        <a:ext cx="4542089" cy="515162"/>
      </dsp:txXfrm>
    </dsp:sp>
    <dsp:sp modelId="{4C35CDFC-9ED4-4F4F-BF17-AF5081CDCEE6}">
      <dsp:nvSpPr>
        <dsp:cNvPr id="0" name=""/>
        <dsp:cNvSpPr/>
      </dsp:nvSpPr>
      <dsp:spPr>
        <a:xfrm rot="5400000">
          <a:off x="-131746" y="1462889"/>
          <a:ext cx="878309" cy="614816"/>
        </a:xfrm>
        <a:prstGeom prst="chevron">
          <a:avLst/>
        </a:prstGeom>
        <a:solidFill>
          <a:srgbClr val="AAB032">
            <a:hueOff val="0"/>
            <a:satOff val="0"/>
            <a:lumOff val="0"/>
            <a:alphaOff val="0"/>
          </a:srgbClr>
        </a:solidFill>
        <a:ln w="12700" cap="flat" cmpd="sng" algn="ctr">
          <a:solidFill>
            <a:srgbClr val="AAB032">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171450" lvl="1" indent="-171450" algn="ctr" defTabSz="800100">
            <a:lnSpc>
              <a:spcPct val="90000"/>
            </a:lnSpc>
            <a:spcBef>
              <a:spcPct val="0"/>
            </a:spcBef>
            <a:spcAft>
              <a:spcPct val="15000"/>
            </a:spcAft>
            <a:buNone/>
          </a:pPr>
          <a:r>
            <a:rPr lang="sv-SE" sz="1050" kern="1200">
              <a:solidFill>
                <a:srgbClr val="FFFFFF"/>
              </a:solidFill>
              <a:latin typeface="Museo Sans Rounded 900" panose="02000000000000000000" pitchFamily="50" charset="0"/>
              <a:ea typeface="+mn-ea"/>
              <a:cs typeface="+mn-cs"/>
            </a:rPr>
            <a:t>Scope 3</a:t>
          </a:r>
        </a:p>
      </dsp:txBody>
      <dsp:txXfrm rot="-5400000">
        <a:off x="1" y="1638550"/>
        <a:ext cx="614816" cy="263493"/>
      </dsp:txXfrm>
    </dsp:sp>
    <dsp:sp modelId="{6137D0FA-6825-4393-A64A-3DD36AE841BD}">
      <dsp:nvSpPr>
        <dsp:cNvPr id="0" name=""/>
        <dsp:cNvSpPr/>
      </dsp:nvSpPr>
      <dsp:spPr>
        <a:xfrm rot="5400000">
          <a:off x="2614345" y="-668386"/>
          <a:ext cx="570900" cy="4569958"/>
        </a:xfrm>
        <a:prstGeom prst="round2SameRect">
          <a:avLst/>
        </a:prstGeom>
        <a:solidFill>
          <a:srgbClr val="FFFFFF">
            <a:alpha val="90000"/>
            <a:hueOff val="0"/>
            <a:satOff val="0"/>
            <a:lumOff val="0"/>
            <a:alphaOff val="0"/>
          </a:srgbClr>
        </a:solidFill>
        <a:ln w="12700" cap="flat" cmpd="sng" algn="ctr">
          <a:solidFill>
            <a:srgbClr val="AAB032">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171450" lvl="1" indent="-171450" algn="l" defTabSz="800100">
            <a:lnSpc>
              <a:spcPct val="90000"/>
            </a:lnSpc>
            <a:spcBef>
              <a:spcPct val="0"/>
            </a:spcBef>
            <a:spcAft>
              <a:spcPct val="15000"/>
            </a:spcAft>
            <a:buFontTx/>
            <a:buNone/>
          </a:pPr>
          <a:r>
            <a:rPr lang="sv-SE" sz="1000" i="0" kern="1200">
              <a:solidFill>
                <a:srgbClr val="000000">
                  <a:hueOff val="0"/>
                  <a:satOff val="0"/>
                  <a:lumOff val="0"/>
                  <a:alphaOff val="0"/>
                </a:srgbClr>
              </a:solidFill>
              <a:latin typeface="Museo Sans Rounded 300" panose="02000000000000000000" pitchFamily="50" charset="0"/>
              <a:ea typeface="+mn-ea"/>
              <a:cs typeface="+mn-cs"/>
            </a:rPr>
            <a:t>   Alla andra utsläpp som uppstår utanför verksamheten men som ett resultat av aktiviteter som sker genom verksamheten</a:t>
          </a:r>
        </a:p>
      </dsp:txBody>
      <dsp:txXfrm rot="-5400000">
        <a:off x="614817" y="1359011"/>
        <a:ext cx="4542089" cy="5151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1">
  <a:themeElements>
    <a:clrScheme name="2050">
      <a:dk1>
        <a:srgbClr val="000000"/>
      </a:dk1>
      <a:lt1>
        <a:srgbClr val="FFFFFF"/>
      </a:lt1>
      <a:dk2>
        <a:srgbClr val="44546A"/>
      </a:dk2>
      <a:lt2>
        <a:srgbClr val="E7E6E6"/>
      </a:lt2>
      <a:accent1>
        <a:srgbClr val="F05A28"/>
      </a:accent1>
      <a:accent2>
        <a:srgbClr val="012E44"/>
      </a:accent2>
      <a:accent3>
        <a:srgbClr val="7C3347"/>
      </a:accent3>
      <a:accent4>
        <a:srgbClr val="AAB032"/>
      </a:accent4>
      <a:accent5>
        <a:srgbClr val="288A97"/>
      </a:accent5>
      <a:accent6>
        <a:srgbClr val="C3C2A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1" id="{D627BD57-A4F1-4E4E-AC61-23EB013EF35F}" vid="{15570BAE-CAAD-42F2-B13B-C82F7ACF7C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Vägledning till beräkningsverktyg för klimatberäkningar för att underlätta regionernas arbete med klimatredovisning. Vägledning och verktyg har tagits fram av SKR i samarbete med 2050 Consulting.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49158c6-b5e5-44dd-baea-4299a2b33999" xsi:nil="true"/>
    <lcf76f155ced4ddcb4097134ff3c332f xmlns="91d0079a-58dd-4fec-845c-7f7af08b7f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57DA4B99266D439FCF8A465058A280" ma:contentTypeVersion="18" ma:contentTypeDescription="Skapa ett nytt dokument." ma:contentTypeScope="" ma:versionID="e312d819d72f998d71566d8c0b0f140b">
  <xsd:schema xmlns:xsd="http://www.w3.org/2001/XMLSchema" xmlns:xs="http://www.w3.org/2001/XMLSchema" xmlns:p="http://schemas.microsoft.com/office/2006/metadata/properties" xmlns:ns2="91d0079a-58dd-4fec-845c-7f7af08b7f08" xmlns:ns3="d49158c6-b5e5-44dd-baea-4299a2b33999" targetNamespace="http://schemas.microsoft.com/office/2006/metadata/properties" ma:root="true" ma:fieldsID="ae6276635bd60b54e9034604f2498113" ns2:_="" ns3:_="">
    <xsd:import namespace="91d0079a-58dd-4fec-845c-7f7af08b7f08"/>
    <xsd:import namespace="d49158c6-b5e5-44dd-baea-4299a2b33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0079a-58dd-4fec-845c-7f7af08b7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321feeb5-49ae-4e62-bd72-b2be39e694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158c6-b5e5-44dd-baea-4299a2b3399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81e627cb-7dfe-4656-91dc-de55566aca07}" ma:internalName="TaxCatchAll" ma:showField="CatchAllData" ma:web="d49158c6-b5e5-44dd-baea-4299a2b339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78E77-111C-4244-A418-A62B7D3EEF6F}">
  <ds:schemaRefs>
    <ds:schemaRef ds:uri="http://schemas.microsoft.com/office/2006/metadata/properties"/>
    <ds:schemaRef ds:uri="http://schemas.microsoft.com/office/infopath/2007/PartnerControls"/>
    <ds:schemaRef ds:uri="d49158c6-b5e5-44dd-baea-4299a2b33999"/>
    <ds:schemaRef ds:uri="91d0079a-58dd-4fec-845c-7f7af08b7f08"/>
  </ds:schemaRefs>
</ds:datastoreItem>
</file>

<file path=customXml/itemProps3.xml><?xml version="1.0" encoding="utf-8"?>
<ds:datastoreItem xmlns:ds="http://schemas.openxmlformats.org/officeDocument/2006/customXml" ds:itemID="{8A9ADDE5-518A-4BB4-8DBC-A12AF6C6E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0079a-58dd-4fec-845c-7f7af08b7f08"/>
    <ds:schemaRef ds:uri="d49158c6-b5e5-44dd-baea-4299a2b33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F5B3B-ACBA-4757-A7A6-8F1EF976E67F}">
  <ds:schemaRefs>
    <ds:schemaRef ds:uri="http://schemas.openxmlformats.org/officeDocument/2006/bibliography"/>
  </ds:schemaRefs>
</ds:datastoreItem>
</file>

<file path=customXml/itemProps5.xml><?xml version="1.0" encoding="utf-8"?>
<ds:datastoreItem xmlns:ds="http://schemas.openxmlformats.org/officeDocument/2006/customXml" ds:itemID="{62142451-0D0A-4B57-83BF-90C9330A8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14120</Words>
  <Characters>74840</Characters>
  <Application>Microsoft Office Word</Application>
  <DocSecurity>4</DocSecurity>
  <Lines>623</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Vägledning för regioners klimatREDOVISNING</vt:lpstr>
      <vt:lpstr>Vägledning för regioners klimatREDOVISNING</vt:lpstr>
    </vt:vector>
  </TitlesOfParts>
  <Company/>
  <LinksUpToDate>false</LinksUpToDate>
  <CharactersWithSpaces>88783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regioners klimatREDOVISNING</dc:title>
  <dc:subject/>
  <dc:creator>SKR</dc:creator>
  <cp:keywords/>
  <dc:description/>
  <cp:lastModifiedBy>Hagnell Andreas</cp:lastModifiedBy>
  <cp:revision>2</cp:revision>
  <dcterms:created xsi:type="dcterms:W3CDTF">2023-12-14T11:00:00Z</dcterms:created>
  <dcterms:modified xsi:type="dcterms:W3CDTF">2023-12-14T11:00:00Z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0x010100BD57DA4B99266D439FCF8A465058A280</vt:lpwstr>
  </property>
  <property fmtid="{D5CDD505-2E9C-101B-9397-08002B2CF9AE}" pid="3" name="MediaServiceImageTags">
    <vt:lpwstr/>
  </property>
  <property fmtid="{D5CDD505-2E9C-101B-9397-08002B2CF9AE}" pid="4" name="GrammarlyDocumentId">
    <vt:lpwstr>44471dd1e240196c1e2b559b7fde921a873a18bab7bd18e6132f5e4c1b1f61bc</vt:lpwstr>
  </property>
</Properties>
</file>